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C9B3" w14:textId="313984E1" w:rsidR="00B96E0F" w:rsidRPr="00540BC0" w:rsidRDefault="00540BC0" w:rsidP="00C24473">
      <w:pPr>
        <w:spacing w:before="240"/>
        <w:ind w:left="-426" w:right="-567"/>
        <w:jc w:val="center"/>
        <w:rPr>
          <w:b/>
          <w:bCs/>
          <w:sz w:val="28"/>
          <w:szCs w:val="28"/>
        </w:rPr>
      </w:pPr>
      <w:r w:rsidRPr="00540BC0">
        <w:rPr>
          <w:b/>
          <w:bCs/>
          <w:sz w:val="28"/>
          <w:szCs w:val="28"/>
        </w:rPr>
        <w:t>Décret SMAD : la Commission Européenne sensible aux arguments de Netflix</w:t>
      </w:r>
    </w:p>
    <w:p w14:paraId="7BE85D6A" w14:textId="77777777" w:rsidR="000E462F" w:rsidRDefault="000E462F" w:rsidP="000E462F">
      <w:pPr>
        <w:spacing w:after="0"/>
        <w:ind w:left="-284" w:right="-426"/>
        <w:jc w:val="both"/>
      </w:pPr>
      <w:r>
        <w:t xml:space="preserve">Dans l’avis qu’elle a rendu le 19 mars concernant le projet de décret SMAD, et que NPA Conseil a pu analyser, </w:t>
      </w:r>
      <w:r w:rsidRPr="008A3C8A">
        <w:rPr>
          <w:b/>
          <w:bCs/>
        </w:rPr>
        <w:t xml:space="preserve">la Commission </w:t>
      </w:r>
      <w:r>
        <w:rPr>
          <w:b/>
          <w:bCs/>
        </w:rPr>
        <w:t>e</w:t>
      </w:r>
      <w:r w:rsidRPr="008A3C8A">
        <w:rPr>
          <w:b/>
          <w:bCs/>
        </w:rPr>
        <w:t xml:space="preserve">uropéenne, sous la signature de sa directrice générale Kerstin </w:t>
      </w:r>
      <w:proofErr w:type="spellStart"/>
      <w:r w:rsidRPr="008A3C8A">
        <w:rPr>
          <w:b/>
          <w:bCs/>
        </w:rPr>
        <w:t>Jorna</w:t>
      </w:r>
      <w:proofErr w:type="spellEnd"/>
      <w:r w:rsidRPr="008A3C8A">
        <w:rPr>
          <w:b/>
          <w:bCs/>
        </w:rPr>
        <w:t>, reprend plusieurs des arguments que Netflix avait soulev</w:t>
      </w:r>
      <w:r>
        <w:rPr>
          <w:b/>
          <w:bCs/>
        </w:rPr>
        <w:t xml:space="preserve">és </w:t>
      </w:r>
      <w:r>
        <w:t xml:space="preserve">dans la seule contribution écrite déposée à Bruxelles pendant la période d’instruction (la note </w:t>
      </w:r>
      <w:hyperlink r:id="rId8" w:history="1">
        <w:r w:rsidRPr="00540BC0">
          <w:rPr>
            <w:rStyle w:val="Lienhypertexte"/>
          </w:rPr>
          <w:t>INSIGHT NPA en avait rendu compte</w:t>
        </w:r>
      </w:hyperlink>
      <w:r>
        <w:t xml:space="preserve"> le 24 mars) :</w:t>
      </w:r>
    </w:p>
    <w:p w14:paraId="1C54A186" w14:textId="77777777" w:rsidR="000E462F" w:rsidRPr="00540BC0" w:rsidRDefault="000E462F" w:rsidP="000E462F">
      <w:pPr>
        <w:pStyle w:val="Paragraphedeliste"/>
        <w:numPr>
          <w:ilvl w:val="0"/>
          <w:numId w:val="3"/>
        </w:numPr>
        <w:ind w:left="142" w:right="-426" w:hanging="357"/>
        <w:jc w:val="both"/>
      </w:pPr>
      <w:r w:rsidRPr="008A3C8A">
        <w:rPr>
          <w:b/>
          <w:bCs/>
        </w:rPr>
        <w:t>Sur la part minimale des productions d’expression originale française</w:t>
      </w:r>
      <w:r w:rsidRPr="00540BC0">
        <w:t xml:space="preserve"> </w:t>
      </w:r>
      <w:r>
        <w:t xml:space="preserve">retenue pour les obligations des services de </w:t>
      </w:r>
      <w:proofErr w:type="spellStart"/>
      <w:r>
        <w:t>SVoD</w:t>
      </w:r>
      <w:proofErr w:type="spellEnd"/>
      <w:r>
        <w:t xml:space="preserve"> (85%), et de </w:t>
      </w:r>
      <w:proofErr w:type="spellStart"/>
      <w:r>
        <w:t>VoD</w:t>
      </w:r>
      <w:proofErr w:type="spellEnd"/>
      <w:r>
        <w:t xml:space="preserve"> (80%), l</w:t>
      </w:r>
      <w:r w:rsidRPr="00540BC0">
        <w:t xml:space="preserve">a Commission juge que les taux retenus sont « </w:t>
      </w:r>
      <w:r w:rsidRPr="008A3C8A">
        <w:rPr>
          <w:i/>
          <w:iCs/>
        </w:rPr>
        <w:t>susceptibles de créer des avantages pour les sociétés de production établies en France</w:t>
      </w:r>
      <w:r>
        <w:t xml:space="preserve"> (et) </w:t>
      </w:r>
      <w:r w:rsidRPr="008A3C8A">
        <w:rPr>
          <w:i/>
          <w:iCs/>
        </w:rPr>
        <w:t xml:space="preserve">sont nettement plus élevés que </w:t>
      </w:r>
      <w:r>
        <w:rPr>
          <w:i/>
          <w:iCs/>
        </w:rPr>
        <w:t>ceux</w:t>
      </w:r>
      <w:r w:rsidRPr="008A3C8A">
        <w:rPr>
          <w:i/>
          <w:iCs/>
        </w:rPr>
        <w:t xml:space="preserve"> considérés comme proportionnels par la jurisprudence</w:t>
      </w:r>
      <w:r w:rsidRPr="00540BC0">
        <w:t xml:space="preserve"> »</w:t>
      </w:r>
      <w:r>
        <w:t xml:space="preserve">. </w:t>
      </w:r>
      <w:r w:rsidRPr="00540BC0">
        <w:t xml:space="preserve">« </w:t>
      </w:r>
      <w:r w:rsidRPr="008A3C8A">
        <w:rPr>
          <w:i/>
          <w:iCs/>
        </w:rPr>
        <w:t>Il semble discutable que les contributions proposées soient proportionnées et</w:t>
      </w:r>
      <w:r w:rsidRPr="00540BC0">
        <w:t xml:space="preserve"> </w:t>
      </w:r>
      <w:r>
        <w:t>(il revient aux)</w:t>
      </w:r>
      <w:r w:rsidRPr="00540BC0">
        <w:t xml:space="preserve"> </w:t>
      </w:r>
      <w:r w:rsidRPr="008A3C8A">
        <w:rPr>
          <w:i/>
          <w:iCs/>
        </w:rPr>
        <w:t>autorités françaises d’en justifier la proportionnalité</w:t>
      </w:r>
      <w:r w:rsidRPr="00540BC0">
        <w:t xml:space="preserve"> », </w:t>
      </w:r>
      <w:r>
        <w:t>conclut</w:t>
      </w:r>
      <w:r w:rsidRPr="00540BC0">
        <w:t xml:space="preserve"> la Commission. </w:t>
      </w:r>
    </w:p>
    <w:p w14:paraId="75C54873" w14:textId="77777777" w:rsidR="000E462F" w:rsidRPr="00540BC0" w:rsidRDefault="000E462F" w:rsidP="000E462F">
      <w:pPr>
        <w:pStyle w:val="Paragraphedeliste"/>
        <w:numPr>
          <w:ilvl w:val="0"/>
          <w:numId w:val="3"/>
        </w:numPr>
        <w:ind w:left="142" w:right="-425" w:hanging="357"/>
        <w:jc w:val="both"/>
      </w:pPr>
      <w:r w:rsidRPr="008A3C8A">
        <w:rPr>
          <w:b/>
          <w:bCs/>
        </w:rPr>
        <w:t>Concernant la définition des œuvres européennes prises en compte</w:t>
      </w:r>
      <w:r w:rsidRPr="00540BC0">
        <w:t xml:space="preserve"> </w:t>
      </w:r>
      <w:r>
        <w:t xml:space="preserve">dans le calcul de la contribution à la production </w:t>
      </w:r>
      <w:r w:rsidRPr="00540BC0">
        <w:t xml:space="preserve">: la Commission </w:t>
      </w:r>
      <w:r>
        <w:t>rejoint Netflix,</w:t>
      </w:r>
      <w:r w:rsidRPr="00540BC0">
        <w:t xml:space="preserve"> </w:t>
      </w:r>
      <w:r>
        <w:t>en estimant que la</w:t>
      </w:r>
      <w:r w:rsidRPr="00540BC0">
        <w:t xml:space="preserve"> définition stricte </w:t>
      </w:r>
      <w:r>
        <w:t xml:space="preserve">du projet de décret français </w:t>
      </w:r>
      <w:r w:rsidRPr="00540BC0">
        <w:t xml:space="preserve">semble interdire la prise en compte des œuvres produites par des entreprises européennes contrôlées par des acteurs extra-européens, et pourrait à ce titre « </w:t>
      </w:r>
      <w:r w:rsidRPr="00540BC0">
        <w:rPr>
          <w:i/>
          <w:iCs/>
        </w:rPr>
        <w:t>susciter des questions de nécessité et de proportionnalité</w:t>
      </w:r>
      <w:r w:rsidRPr="00540BC0">
        <w:t xml:space="preserve"> ».</w:t>
      </w:r>
    </w:p>
    <w:p w14:paraId="2C795B84" w14:textId="77777777" w:rsidR="000E462F" w:rsidRDefault="000E462F" w:rsidP="000E462F">
      <w:pPr>
        <w:pStyle w:val="Paragraphedeliste"/>
        <w:numPr>
          <w:ilvl w:val="0"/>
          <w:numId w:val="3"/>
        </w:numPr>
        <w:ind w:left="142" w:right="-425" w:hanging="357"/>
        <w:jc w:val="both"/>
      </w:pPr>
      <w:r w:rsidRPr="008A3C8A">
        <w:rPr>
          <w:b/>
          <w:bCs/>
        </w:rPr>
        <w:t xml:space="preserve">S’agissant </w:t>
      </w:r>
      <w:r>
        <w:rPr>
          <w:b/>
          <w:bCs/>
        </w:rPr>
        <w:t>des modalités d</w:t>
      </w:r>
      <w:r w:rsidRPr="008A3C8A">
        <w:rPr>
          <w:b/>
          <w:bCs/>
        </w:rPr>
        <w:t>’entrée en vigueur du nouveau dispositif</w:t>
      </w:r>
      <w:r>
        <w:rPr>
          <w:b/>
          <w:bCs/>
        </w:rPr>
        <w:t xml:space="preserve"> </w:t>
      </w:r>
      <w:r w:rsidRPr="008A3C8A">
        <w:rPr>
          <w:b/>
          <w:bCs/>
        </w:rPr>
        <w:t xml:space="preserve">: </w:t>
      </w:r>
      <w:r w:rsidRPr="008A3C8A">
        <w:t xml:space="preserve">la Commission pointe – comme l’avait fait Netflix – que le décret est prévu pour entrer en vigueur le 1er juillet 2021, mais que les dépenses engagées à partir du 1er janvier 2021 seront prises en compte. La Commission souhaite, en conséquence « </w:t>
      </w:r>
      <w:r w:rsidRPr="008A3C8A">
        <w:rPr>
          <w:i/>
          <w:iCs/>
        </w:rPr>
        <w:t>des précisions sur la raison et la manière dont les dépenses engagées pendant une période où le décret n’est pas applicable seront prises en compte</w:t>
      </w:r>
      <w:r w:rsidRPr="008A3C8A">
        <w:t xml:space="preserve"> ».</w:t>
      </w:r>
    </w:p>
    <w:p w14:paraId="67A67F32" w14:textId="77777777" w:rsidR="00C24473" w:rsidRDefault="00C24473" w:rsidP="000E462F">
      <w:pPr>
        <w:pStyle w:val="Paragraphedeliste"/>
        <w:spacing w:after="0"/>
        <w:ind w:left="-284" w:right="-426"/>
        <w:jc w:val="both"/>
      </w:pPr>
    </w:p>
    <w:p w14:paraId="0B996814" w14:textId="77777777" w:rsidR="000E462F" w:rsidRDefault="000E462F" w:rsidP="000E462F">
      <w:pPr>
        <w:spacing w:after="0"/>
        <w:ind w:left="-284" w:right="-426"/>
        <w:jc w:val="both"/>
      </w:pPr>
      <w:r>
        <w:t>Les observations de la Commission ne s’en tiennent pas aux points soulevés par Netflix :</w:t>
      </w:r>
    </w:p>
    <w:p w14:paraId="173A7533" w14:textId="77777777" w:rsidR="000E462F" w:rsidRPr="008A3C8A" w:rsidRDefault="000E462F" w:rsidP="000E462F">
      <w:pPr>
        <w:spacing w:after="0"/>
        <w:ind w:left="-284" w:right="-426"/>
        <w:jc w:val="both"/>
      </w:pPr>
    </w:p>
    <w:p w14:paraId="38AEE644" w14:textId="77777777" w:rsidR="000E462F" w:rsidRDefault="000E462F" w:rsidP="000E462F">
      <w:pPr>
        <w:pStyle w:val="Paragraphedeliste"/>
        <w:numPr>
          <w:ilvl w:val="0"/>
          <w:numId w:val="1"/>
        </w:numPr>
        <w:spacing w:after="0"/>
        <w:ind w:left="142" w:right="-425" w:hanging="357"/>
        <w:jc w:val="both"/>
      </w:pPr>
      <w:r w:rsidRPr="00966536">
        <w:rPr>
          <w:b/>
          <w:bCs/>
        </w:rPr>
        <w:t xml:space="preserve">Concernant la base de chiffre d’affaires </w:t>
      </w:r>
      <w:r>
        <w:rPr>
          <w:b/>
          <w:bCs/>
        </w:rPr>
        <w:t>soumise à</w:t>
      </w:r>
      <w:r w:rsidRPr="00966536">
        <w:rPr>
          <w:b/>
          <w:bCs/>
        </w:rPr>
        <w:t xml:space="preserve"> contribution, la Commission « </w:t>
      </w:r>
      <w:r w:rsidRPr="00D92ABB">
        <w:rPr>
          <w:b/>
          <w:bCs/>
          <w:i/>
          <w:iCs/>
        </w:rPr>
        <w:t>souhaiterait obtenir des précisions</w:t>
      </w:r>
      <w:r w:rsidRPr="00966536">
        <w:rPr>
          <w:b/>
          <w:bCs/>
        </w:rPr>
        <w:t> »</w:t>
      </w:r>
      <w:r>
        <w:rPr>
          <w:b/>
          <w:bCs/>
        </w:rPr>
        <w:t xml:space="preserve"> </w:t>
      </w:r>
      <w:r w:rsidRPr="008D5D2B">
        <w:t xml:space="preserve">sur </w:t>
      </w:r>
      <w:r>
        <w:t>la méthode retenue pour calculer la contribution des services mixtes, pour lesquels « </w:t>
      </w:r>
      <w:r w:rsidRPr="00610765">
        <w:rPr>
          <w:i/>
          <w:iCs/>
        </w:rPr>
        <w:t>l’utilisateur bénéficie, sans pouvoir y renoncer, de services complémentaires d’une autre nature ne requérant pas la souscription d’un abonnement</w:t>
      </w:r>
      <w:r>
        <w:t> » (Amazon Prime et Apple TV+, principalement, à date) ;</w:t>
      </w:r>
      <w:r w:rsidRPr="0034754E">
        <w:t xml:space="preserve"> </w:t>
      </w:r>
      <w:r>
        <w:t xml:space="preserve"> </w:t>
      </w:r>
    </w:p>
    <w:p w14:paraId="28C49625" w14:textId="77777777" w:rsidR="000E462F" w:rsidRDefault="000E462F" w:rsidP="000E462F">
      <w:pPr>
        <w:pStyle w:val="Paragraphedeliste"/>
        <w:numPr>
          <w:ilvl w:val="0"/>
          <w:numId w:val="1"/>
        </w:numPr>
        <w:spacing w:after="0"/>
        <w:ind w:left="142" w:right="-425" w:hanging="357"/>
        <w:jc w:val="both"/>
      </w:pPr>
      <w:r>
        <w:rPr>
          <w:b/>
          <w:bCs/>
        </w:rPr>
        <w:t>Concernant les « services transfrontaliers » (ciblant la France mais n’y étant pas domicilié) qui n’auraient pas passé de convention avec le CSA ni signé d’accord avec les organisations professionnelles</w:t>
      </w:r>
      <w:r>
        <w:t xml:space="preserve"> : la Commission </w:t>
      </w:r>
      <w:r w:rsidRPr="005C062C">
        <w:t>souhaite</w:t>
      </w:r>
      <w:r>
        <w:t xml:space="preserve"> s’assurer qu’ils ne seront pas discriminés par rapport aux</w:t>
      </w:r>
      <w:r w:rsidRPr="005C062C">
        <w:t xml:space="preserve"> prestataires de services de VAD basés en France</w:t>
      </w:r>
      <w:r>
        <w:t> ;</w:t>
      </w:r>
    </w:p>
    <w:p w14:paraId="18C0E24F" w14:textId="77777777" w:rsidR="000E462F" w:rsidRPr="00144B25" w:rsidRDefault="000E462F" w:rsidP="000E462F">
      <w:pPr>
        <w:pStyle w:val="Paragraphedeliste"/>
        <w:numPr>
          <w:ilvl w:val="0"/>
          <w:numId w:val="1"/>
        </w:numPr>
        <w:spacing w:after="0"/>
        <w:ind w:left="142" w:right="-425" w:hanging="357"/>
        <w:jc w:val="both"/>
        <w:rPr>
          <w:b/>
          <w:bCs/>
        </w:rPr>
      </w:pPr>
      <w:r w:rsidRPr="00C74607">
        <w:rPr>
          <w:b/>
          <w:bCs/>
        </w:rPr>
        <w:t>Concernant les seuils de déclenchement des obligations retenus par le décret</w:t>
      </w:r>
      <w:r>
        <w:t>,</w:t>
      </w:r>
      <w:r>
        <w:rPr>
          <w:b/>
          <w:bCs/>
        </w:rPr>
        <w:t xml:space="preserve"> </w:t>
      </w:r>
      <w:r>
        <w:t>la Commission interroge la France sur les raisons l’ayant poussé à s’écarter des seuils prévus par les lignes directrices qu’elle a éditées ;</w:t>
      </w:r>
    </w:p>
    <w:p w14:paraId="3AB6B483" w14:textId="77777777" w:rsidR="000E462F" w:rsidRDefault="000E462F" w:rsidP="000E462F">
      <w:pPr>
        <w:pStyle w:val="Paragraphedeliste"/>
        <w:numPr>
          <w:ilvl w:val="0"/>
          <w:numId w:val="1"/>
        </w:numPr>
        <w:spacing w:after="0"/>
        <w:ind w:left="142" w:right="-425" w:hanging="357"/>
        <w:jc w:val="both"/>
      </w:pPr>
      <w:r>
        <w:rPr>
          <w:b/>
          <w:bCs/>
        </w:rPr>
        <w:t xml:space="preserve">Concernant les </w:t>
      </w:r>
      <w:r w:rsidRPr="00144B25">
        <w:rPr>
          <w:b/>
          <w:bCs/>
        </w:rPr>
        <w:t xml:space="preserve">données relatives </w:t>
      </w:r>
      <w:r>
        <w:rPr>
          <w:b/>
          <w:bCs/>
        </w:rPr>
        <w:t>que les éditeurs devront communiquer au CSA</w:t>
      </w:r>
      <w:r>
        <w:t>, la Commission souhaite</w:t>
      </w:r>
      <w:r w:rsidRPr="00144B25">
        <w:t xml:space="preserve"> </w:t>
      </w:r>
      <w:r>
        <w:t>« </w:t>
      </w:r>
      <w:r w:rsidRPr="00D92ABB">
        <w:rPr>
          <w:i/>
          <w:iCs/>
        </w:rPr>
        <w:t>obtenir l’assurance que ces obligations ne vont pas au-delà de ce qui est nécessaire pour mettre en œuvre la législation</w:t>
      </w:r>
      <w:r>
        <w:t> » ;</w:t>
      </w:r>
    </w:p>
    <w:p w14:paraId="0E37C7D4" w14:textId="77777777" w:rsidR="000E462F" w:rsidRDefault="000E462F" w:rsidP="000E462F">
      <w:pPr>
        <w:pStyle w:val="Paragraphedeliste"/>
        <w:numPr>
          <w:ilvl w:val="0"/>
          <w:numId w:val="1"/>
        </w:numPr>
        <w:spacing w:after="0"/>
        <w:ind w:left="142" w:right="-425" w:hanging="357"/>
        <w:jc w:val="both"/>
      </w:pPr>
      <w:r w:rsidRPr="00D92ABB">
        <w:rPr>
          <w:b/>
          <w:bCs/>
        </w:rPr>
        <w:t>Concernant la contribution au financement de la production des différents types de services</w:t>
      </w:r>
      <w:r>
        <w:t xml:space="preserve">, la Commission relève que le mécanisme de majoration de la contribution à la production cinéma qui pourrait s’appliquer en fonction du positionnement dans la chronologie des médias peut conduire à un niveau d’obligation supérieur aux taux de 20 % ou 25 % prévus dans le projet de décret pour les services de </w:t>
      </w:r>
      <w:proofErr w:type="spellStart"/>
      <w:r>
        <w:t>SVoD</w:t>
      </w:r>
      <w:proofErr w:type="spellEnd"/>
      <w:r>
        <w:t>.</w:t>
      </w:r>
    </w:p>
    <w:p w14:paraId="0CF9D960" w14:textId="77777777" w:rsidR="000E462F" w:rsidRDefault="000E462F" w:rsidP="000E462F">
      <w:pPr>
        <w:pStyle w:val="Paragraphedeliste"/>
        <w:numPr>
          <w:ilvl w:val="0"/>
          <w:numId w:val="1"/>
        </w:numPr>
        <w:ind w:left="142" w:right="-425" w:hanging="357"/>
        <w:jc w:val="both"/>
      </w:pPr>
      <w:r>
        <w:t xml:space="preserve">S’agissant de la </w:t>
      </w:r>
      <w:r w:rsidRPr="00D92ABB">
        <w:rPr>
          <w:b/>
          <w:bCs/>
        </w:rPr>
        <w:t>définition de la production indépendante</w:t>
      </w:r>
      <w:r w:rsidRPr="00D92ABB">
        <w:t>,</w:t>
      </w:r>
      <w:r>
        <w:rPr>
          <w:b/>
          <w:bCs/>
        </w:rPr>
        <w:t xml:space="preserve"> </w:t>
      </w:r>
      <w:r>
        <w:t>la Commission s’interroge</w:t>
      </w:r>
      <w:r w:rsidRPr="00152471">
        <w:t xml:space="preserve"> </w:t>
      </w:r>
      <w:r>
        <w:t>aussi sur</w:t>
      </w:r>
      <w:r w:rsidRPr="00152471">
        <w:t xml:space="preserve"> </w:t>
      </w:r>
      <w:r>
        <w:t xml:space="preserve">les différences existant dans les définitions retenues par le projet de décret SMAD et par les décrets TNT et </w:t>
      </w:r>
      <w:proofErr w:type="spellStart"/>
      <w:r>
        <w:t>cabsat</w:t>
      </w:r>
      <w:proofErr w:type="spellEnd"/>
      <w:r>
        <w:t xml:space="preserve"> : du point de vue des liens entre entreprises (aucun dans le projet SMAD ; 15 % de part du capital ou des droits de vote pour les deux autres textes) et des droits à </w:t>
      </w:r>
      <w:proofErr w:type="spellStart"/>
      <w:r>
        <w:t>remontée</w:t>
      </w:r>
      <w:proofErr w:type="spellEnd"/>
      <w:r>
        <w:t xml:space="preserve"> sur les recettes générées par l’œuvre (aucune dans le projet SMAD ; possibles, sous condition, dans les deux autres textes).</w:t>
      </w:r>
    </w:p>
    <w:p w14:paraId="6814E4AE" w14:textId="77777777" w:rsidR="000E462F" w:rsidRDefault="000E462F" w:rsidP="000E462F">
      <w:pPr>
        <w:spacing w:after="0"/>
        <w:ind w:left="-284" w:right="-426"/>
        <w:jc w:val="both"/>
        <w:rPr>
          <w:b/>
          <w:bCs/>
        </w:rPr>
      </w:pPr>
    </w:p>
    <w:p w14:paraId="3B48966E" w14:textId="77777777" w:rsidR="000E462F" w:rsidRDefault="000E462F" w:rsidP="000E462F">
      <w:pPr>
        <w:spacing w:after="0"/>
        <w:ind w:left="-284" w:right="-426"/>
        <w:jc w:val="both"/>
        <w:sectPr w:rsidR="000E462F" w:rsidSect="00C24473">
          <w:headerReference w:type="default" r:id="rId9"/>
          <w:footerReference w:type="default" r:id="rId10"/>
          <w:pgSz w:w="11906" w:h="16838"/>
          <w:pgMar w:top="851" w:right="1417" w:bottom="568" w:left="1417" w:header="708" w:footer="403" w:gutter="0"/>
          <w:cols w:space="708"/>
          <w:docGrid w:linePitch="360"/>
        </w:sectPr>
      </w:pPr>
    </w:p>
    <w:p w14:paraId="0495D8E2" w14:textId="3F83B877" w:rsidR="000E462F" w:rsidRDefault="000E462F" w:rsidP="000E462F">
      <w:pPr>
        <w:spacing w:before="240" w:after="0"/>
        <w:ind w:left="-284" w:right="-426"/>
        <w:jc w:val="both"/>
      </w:pPr>
      <w:r>
        <w:lastRenderedPageBreak/>
        <w:t xml:space="preserve">Cet avis ne constitue pas un « avis circonstancié », qui aurait imposé à la France un mois supplémentaire de prolongation du statu quo. </w:t>
      </w:r>
    </w:p>
    <w:p w14:paraId="03ADF846" w14:textId="77777777" w:rsidR="000E462F" w:rsidRDefault="000E462F" w:rsidP="000E462F">
      <w:pPr>
        <w:spacing w:after="0"/>
        <w:ind w:left="-284" w:right="-426"/>
        <w:jc w:val="both"/>
      </w:pPr>
    </w:p>
    <w:p w14:paraId="441A4250" w14:textId="77777777" w:rsidR="000E462F" w:rsidRDefault="000E462F" w:rsidP="000E462F">
      <w:pPr>
        <w:spacing w:after="0"/>
        <w:ind w:left="-284" w:right="-426"/>
        <w:jc w:val="both"/>
      </w:pPr>
      <w:r>
        <w:t>Il revient donc maintenant au Conseil d’Etat de rendre son avis sur le projet de décret, avant que celui-ci puisse être publié. Au 9 avril, son examen ne figurait pas au programme de travail de la Section de l’Intérieur.</w:t>
      </w:r>
    </w:p>
    <w:p w14:paraId="3E6EC956" w14:textId="77777777" w:rsidR="000E462F" w:rsidRDefault="000E462F" w:rsidP="000E462F">
      <w:pPr>
        <w:spacing w:after="0"/>
        <w:ind w:left="-284" w:right="-426"/>
        <w:jc w:val="both"/>
      </w:pPr>
    </w:p>
    <w:p w14:paraId="3B2EACA7" w14:textId="77777777" w:rsidR="000E462F" w:rsidRDefault="000E462F" w:rsidP="000E462F">
      <w:pPr>
        <w:spacing w:after="0"/>
        <w:ind w:left="-284" w:right="-426"/>
        <w:jc w:val="both"/>
      </w:pPr>
      <w:r>
        <w:t>Il paraît donc peu plausible que le texte paraisse avant la première quinzaine du mois de mai.</w:t>
      </w:r>
    </w:p>
    <w:p w14:paraId="3E032727" w14:textId="1A01E900" w:rsidR="007253E2" w:rsidRDefault="007253E2" w:rsidP="00C24473">
      <w:pPr>
        <w:spacing w:after="0"/>
        <w:ind w:left="-426" w:right="-567"/>
        <w:jc w:val="both"/>
      </w:pPr>
    </w:p>
    <w:p w14:paraId="36704703" w14:textId="77777777" w:rsidR="00B67F2C" w:rsidRDefault="00B67F2C" w:rsidP="00C24473">
      <w:pPr>
        <w:spacing w:after="0"/>
        <w:ind w:left="-426" w:right="-567"/>
        <w:jc w:val="both"/>
      </w:pPr>
    </w:p>
    <w:p w14:paraId="4B02089B" w14:textId="77777777" w:rsidR="00B67F2C" w:rsidRPr="001E466B" w:rsidRDefault="00B67F2C" w:rsidP="00B67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1E466B">
        <w:rPr>
          <w:b/>
          <w:bCs/>
          <w:sz w:val="20"/>
          <w:szCs w:val="20"/>
        </w:rPr>
        <w:t xml:space="preserve">A propos de NPA </w:t>
      </w:r>
    </w:p>
    <w:p w14:paraId="2810F46F" w14:textId="77777777" w:rsidR="00B67F2C" w:rsidRDefault="00B67F2C" w:rsidP="00B67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18"/>
          <w:szCs w:val="18"/>
        </w:rPr>
        <w:t>NPA Conseil accompagne la transformation numérique de l’univers des contenus &amp; services, en repérant les nouvelles dynamiques d’innovation, en analysant l’évolution des offres et des usages, et en anticipant le développement de nouveaux modèles économiques pour :</w:t>
      </w:r>
    </w:p>
    <w:p w14:paraId="2D7DFCCC" w14:textId="77777777" w:rsidR="00B67F2C" w:rsidRDefault="00B67F2C" w:rsidP="00B67F2C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18"/>
          <w:szCs w:val="18"/>
        </w:rPr>
      </w:pPr>
      <w:proofErr w:type="gramStart"/>
      <w:r>
        <w:rPr>
          <w:b/>
          <w:bCs/>
          <w:sz w:val="18"/>
          <w:szCs w:val="18"/>
          <w:u w:val="single"/>
        </w:rPr>
        <w:t>les</w:t>
      </w:r>
      <w:proofErr w:type="gramEnd"/>
      <w:r>
        <w:rPr>
          <w:b/>
          <w:bCs/>
          <w:sz w:val="18"/>
          <w:szCs w:val="18"/>
          <w:u w:val="single"/>
        </w:rPr>
        <w:t xml:space="preserve"> médias</w:t>
      </w:r>
      <w:r>
        <w:rPr>
          <w:sz w:val="18"/>
          <w:szCs w:val="18"/>
        </w:rPr>
        <w:t> : afin d’optimiser les stratégies de production, diffusion, marketing, enrichissement numérique et monétisation des contenus ou programmes.</w:t>
      </w:r>
    </w:p>
    <w:p w14:paraId="5557F9F8" w14:textId="77777777" w:rsidR="00B67F2C" w:rsidRDefault="00B67F2C" w:rsidP="00B67F2C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18"/>
          <w:szCs w:val="18"/>
        </w:rPr>
      </w:pPr>
      <w:proofErr w:type="gramStart"/>
      <w:r>
        <w:rPr>
          <w:b/>
          <w:bCs/>
          <w:sz w:val="18"/>
          <w:szCs w:val="18"/>
          <w:u w:val="single"/>
        </w:rPr>
        <w:t>les</w:t>
      </w:r>
      <w:proofErr w:type="gramEnd"/>
      <w:r>
        <w:rPr>
          <w:b/>
          <w:bCs/>
          <w:sz w:val="18"/>
          <w:szCs w:val="18"/>
          <w:u w:val="single"/>
        </w:rPr>
        <w:t xml:space="preserve"> marques</w:t>
      </w:r>
      <w:r>
        <w:rPr>
          <w:sz w:val="18"/>
          <w:szCs w:val="18"/>
        </w:rPr>
        <w:t> : pour définir la politique de « content marketing » et sa mise en œuvre</w:t>
      </w:r>
    </w:p>
    <w:p w14:paraId="2B1D9376" w14:textId="77777777" w:rsidR="00B67F2C" w:rsidRDefault="00B67F2C" w:rsidP="00B67F2C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les</w:t>
      </w:r>
      <w:proofErr w:type="gramEnd"/>
      <w:r>
        <w:rPr>
          <w:sz w:val="18"/>
          <w:szCs w:val="18"/>
        </w:rPr>
        <w:t xml:space="preserve"> entreprises développant </w:t>
      </w:r>
      <w:r>
        <w:rPr>
          <w:b/>
          <w:bCs/>
          <w:sz w:val="18"/>
          <w:szCs w:val="18"/>
          <w:u w:val="single"/>
        </w:rPr>
        <w:t>des produits ou des services connectés</w:t>
      </w:r>
      <w:r>
        <w:rPr>
          <w:sz w:val="18"/>
          <w:szCs w:val="18"/>
        </w:rPr>
        <w:t> : pour aider à la spécification fonctionnelle du service, à son positionnement et à son développement.</w:t>
      </w:r>
    </w:p>
    <w:p w14:paraId="28AECCB7" w14:textId="77777777" w:rsidR="00B67F2C" w:rsidRDefault="00B67F2C" w:rsidP="00B67F2C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les</w:t>
      </w:r>
      <w:proofErr w:type="gramEnd"/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  <w:u w:val="single"/>
        </w:rPr>
        <w:t>institutionnels.</w:t>
      </w:r>
    </w:p>
    <w:p w14:paraId="5AB2F9F5" w14:textId="1F2C0FE3" w:rsidR="007253E2" w:rsidRDefault="007253E2" w:rsidP="00C24473">
      <w:pPr>
        <w:spacing w:after="0"/>
        <w:ind w:left="-426" w:right="-567"/>
        <w:jc w:val="both"/>
      </w:pPr>
    </w:p>
    <w:tbl>
      <w:tblPr>
        <w:tblStyle w:val="Grilledutableau"/>
        <w:tblpPr w:leftFromText="141" w:rightFromText="141" w:vertAnchor="text" w:horzAnchor="margin" w:tblpXSpec="center" w:tblpY="64"/>
        <w:tblW w:w="9271" w:type="dxa"/>
        <w:tblLook w:val="04A0" w:firstRow="1" w:lastRow="0" w:firstColumn="1" w:lastColumn="0" w:noHBand="0" w:noVBand="1"/>
      </w:tblPr>
      <w:tblGrid>
        <w:gridCol w:w="9271"/>
      </w:tblGrid>
      <w:tr w:rsidR="00F452E9" w14:paraId="08256BB4" w14:textId="77777777" w:rsidTr="00F452E9">
        <w:trPr>
          <w:trHeight w:val="3019"/>
        </w:trPr>
        <w:tc>
          <w:tcPr>
            <w:tcW w:w="9271" w:type="dxa"/>
            <w:shd w:val="clear" w:color="auto" w:fill="auto"/>
          </w:tcPr>
          <w:p w14:paraId="5F4537DB" w14:textId="77777777" w:rsidR="00F452E9" w:rsidRDefault="00F452E9" w:rsidP="00F452E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E466B">
              <w:rPr>
                <w:rFonts w:ascii="Calibri" w:eastAsia="Times New Roman" w:hAnsi="Calibri" w:cs="Calibri"/>
                <w:b/>
                <w:bCs/>
                <w:color w:val="90003A"/>
                <w:lang w:eastAsia="fr-FR"/>
              </w:rPr>
              <w:t>NPA Conseil publie le 1000</w:t>
            </w:r>
            <w:r w:rsidRPr="001E466B">
              <w:rPr>
                <w:rFonts w:ascii="Calibri" w:eastAsia="Times New Roman" w:hAnsi="Calibri" w:cs="Calibri"/>
                <w:b/>
                <w:bCs/>
                <w:color w:val="90003A"/>
                <w:vertAlign w:val="superscript"/>
                <w:lang w:eastAsia="fr-FR"/>
              </w:rPr>
              <w:t>e</w:t>
            </w:r>
            <w:r w:rsidRPr="001E466B">
              <w:rPr>
                <w:rFonts w:ascii="Calibri" w:eastAsia="Times New Roman" w:hAnsi="Calibri" w:cs="Calibri"/>
                <w:b/>
                <w:bCs/>
                <w:color w:val="90003A"/>
                <w:lang w:eastAsia="fr-FR"/>
              </w:rPr>
              <w:t> numéro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de sa note de veille hebdomadaire </w:t>
            </w:r>
            <w:r w:rsidRPr="001E466B">
              <w:rPr>
                <w:rFonts w:ascii="Calibri" w:eastAsia="Times New Roman" w:hAnsi="Calibri" w:cs="Calibri"/>
                <w:b/>
                <w:bCs/>
                <w:color w:val="90003A"/>
                <w:lang w:eastAsia="fr-FR"/>
              </w:rPr>
              <w:t>INSIGHT NPA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. Un numéro spécial avec deux éditions, le 15 puis le 22 avril </w:t>
            </w:r>
          </w:p>
          <w:p w14:paraId="7D7CAD4A" w14:textId="77777777" w:rsidR="00F452E9" w:rsidRDefault="00F452E9" w:rsidP="00F452E9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Presque 20 ans à observer, éclairer et anticiper au mieux la mutation des secteurs des médias, des télécommunications et du digital.</w:t>
            </w:r>
          </w:p>
          <w:p w14:paraId="3310DCD4" w14:textId="77777777" w:rsidR="00F452E9" w:rsidRDefault="00F452E9" w:rsidP="00F452E9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24D1">
              <w:rPr>
                <w:rFonts w:ascii="Calibri" w:eastAsia="Times New Roman" w:hAnsi="Calibri" w:cs="Calibri"/>
                <w:b/>
                <w:bCs/>
                <w:color w:val="90003A"/>
                <w:lang w:eastAsia="fr-FR"/>
              </w:rPr>
              <w:t>L’INSIGHT NPA numéro 1000 se projette en 2030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 : Quel avenir pour la télévision ? La vidéo à la demande aura-t-elle remplacé les chaînes linéaires ? La culture sera-t-elle entièrement dématérialisée ? Toute la population mondiale sera-t-elle connectée ? Ira-t-on encore au cinéma ? Les Etats auront-ils réussi à encadrer la puissance des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Gafa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ou dû abandonner une part de leur souveraineté ? Les nouveaux géants mondiaux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seront-ils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chinois, indiens, africains ? </w:t>
            </w:r>
          </w:p>
          <w:p w14:paraId="28F48F0D" w14:textId="77777777" w:rsidR="00F452E9" w:rsidRPr="001E466B" w:rsidRDefault="00F452E9" w:rsidP="00F452E9">
            <w:pPr>
              <w:jc w:val="both"/>
              <w:rPr>
                <w:rFonts w:ascii="Calibri" w:eastAsia="Times New Roman" w:hAnsi="Calibri" w:cs="Calibri"/>
                <w:b/>
                <w:bCs/>
                <w:color w:val="90003A"/>
                <w:lang w:eastAsia="fr-FR"/>
              </w:rPr>
            </w:pPr>
            <w:r w:rsidRPr="001E466B">
              <w:rPr>
                <w:rFonts w:ascii="Calibri" w:eastAsia="Times New Roman" w:hAnsi="Calibri" w:cs="Calibri"/>
                <w:b/>
                <w:bCs/>
                <w:color w:val="90003A"/>
                <w:lang w:eastAsia="fr-FR"/>
              </w:rPr>
              <w:t xml:space="preserve">Le 15 avril : Les analyses de nos consultants </w:t>
            </w:r>
          </w:p>
          <w:p w14:paraId="4920BDFD" w14:textId="77777777" w:rsidR="00F452E9" w:rsidRPr="00C24473" w:rsidRDefault="00F452E9" w:rsidP="00F452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66B">
              <w:rPr>
                <w:rFonts w:ascii="Calibri" w:eastAsia="Times New Roman" w:hAnsi="Calibri" w:cs="Calibri"/>
                <w:b/>
                <w:bCs/>
                <w:color w:val="90003A"/>
                <w:lang w:eastAsia="fr-FR"/>
              </w:rPr>
              <w:t>Le 22 avril : Les contributions d’acteurs et personnalités clés du secteur.</w:t>
            </w:r>
          </w:p>
        </w:tc>
      </w:tr>
    </w:tbl>
    <w:p w14:paraId="01941412" w14:textId="7E102451" w:rsidR="007253E2" w:rsidRDefault="007253E2" w:rsidP="00C24473">
      <w:pPr>
        <w:spacing w:after="0"/>
        <w:ind w:left="-426" w:right="-567"/>
        <w:jc w:val="both"/>
      </w:pPr>
    </w:p>
    <w:p w14:paraId="4C4E2C9D" w14:textId="6E12602B" w:rsidR="00F452E9" w:rsidRDefault="00F452E9" w:rsidP="00C24473">
      <w:pPr>
        <w:spacing w:after="0"/>
        <w:ind w:left="-426" w:right="-567"/>
        <w:jc w:val="both"/>
      </w:pPr>
    </w:p>
    <w:p w14:paraId="5200495B" w14:textId="700B0C16" w:rsidR="00F452E9" w:rsidRDefault="00F452E9" w:rsidP="00C24473">
      <w:pPr>
        <w:spacing w:after="0"/>
        <w:ind w:left="-426" w:right="-567"/>
        <w:jc w:val="both"/>
      </w:pPr>
    </w:p>
    <w:p w14:paraId="72DB94A3" w14:textId="6CE219BD" w:rsidR="00F452E9" w:rsidRDefault="00F452E9" w:rsidP="00C24473">
      <w:pPr>
        <w:spacing w:after="0"/>
        <w:ind w:left="-426" w:right="-567"/>
        <w:jc w:val="both"/>
      </w:pPr>
    </w:p>
    <w:p w14:paraId="3902507C" w14:textId="28D68362" w:rsidR="00F452E9" w:rsidRDefault="00F452E9" w:rsidP="00C24473">
      <w:pPr>
        <w:spacing w:after="0"/>
        <w:ind w:left="-426" w:right="-567"/>
        <w:jc w:val="both"/>
      </w:pPr>
    </w:p>
    <w:p w14:paraId="487B1460" w14:textId="77777777" w:rsidR="00F452E9" w:rsidRDefault="00F452E9" w:rsidP="00C24473">
      <w:pPr>
        <w:spacing w:after="0"/>
        <w:ind w:left="-426" w:right="-567"/>
        <w:jc w:val="both"/>
      </w:pPr>
    </w:p>
    <w:sectPr w:rsidR="00F452E9" w:rsidSect="00C24473">
      <w:pgSz w:w="11906" w:h="16838"/>
      <w:pgMar w:top="851" w:right="1417" w:bottom="568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0C9E" w14:textId="77777777" w:rsidR="00901C33" w:rsidRDefault="00901C33" w:rsidP="00C50004">
      <w:pPr>
        <w:spacing w:after="0" w:line="240" w:lineRule="auto"/>
      </w:pPr>
      <w:r>
        <w:separator/>
      </w:r>
    </w:p>
  </w:endnote>
  <w:endnote w:type="continuationSeparator" w:id="0">
    <w:p w14:paraId="2FA9AE12" w14:textId="77777777" w:rsidR="00901C33" w:rsidRDefault="00901C33" w:rsidP="00C5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ED08" w14:textId="0569A3AE" w:rsidR="007253E2" w:rsidRPr="007253E2" w:rsidRDefault="007253E2" w:rsidP="007253E2">
    <w:pPr>
      <w:pStyle w:val="Pieddepage"/>
      <w:jc w:val="center"/>
      <w:rPr>
        <w:b/>
        <w:bCs/>
        <w:color w:val="FFFFFF" w:themeColor="background1"/>
      </w:rPr>
    </w:pPr>
    <w:r w:rsidRPr="007253E2">
      <w:rPr>
        <w:b/>
        <w:bCs/>
        <w:noProof/>
        <w:color w:val="FFFFFF" w:themeColor="background1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70D6C45" wp14:editId="4C8BD8C1">
              <wp:simplePos x="0" y="0"/>
              <wp:positionH relativeFrom="column">
                <wp:posOffset>-990600</wp:posOffset>
              </wp:positionH>
              <wp:positionV relativeFrom="paragraph">
                <wp:posOffset>-190500</wp:posOffset>
              </wp:positionV>
              <wp:extent cx="7680325" cy="714375"/>
              <wp:effectExtent l="0" t="0" r="0" b="9525"/>
              <wp:wrapNone/>
              <wp:docPr id="289" name="Rectangle 2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0325" cy="714375"/>
                      </a:xfrm>
                      <a:prstGeom prst="rect">
                        <a:avLst/>
                      </a:prstGeom>
                      <a:solidFill>
                        <a:srgbClr val="9000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ED8BD7" id="Rectangle 289" o:spid="_x0000_s1026" style="position:absolute;margin-left:-78pt;margin-top:-15pt;width:604.75pt;height:5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" fillcolor="#90003a" stroked="f" strokeweight="1pt"/>
          </w:pict>
        </mc:Fallback>
      </mc:AlternateContent>
    </w:r>
    <w:r w:rsidRPr="007253E2">
      <w:rPr>
        <w:b/>
        <w:bCs/>
        <w:color w:val="FFFFFF" w:themeColor="background1"/>
        <w:sz w:val="24"/>
        <w:szCs w:val="24"/>
      </w:rPr>
      <w:t>Contact : Rémy Dupont – rdupont@npaconseil.com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3D91" w14:textId="77777777" w:rsidR="00901C33" w:rsidRDefault="00901C33" w:rsidP="00C50004">
      <w:pPr>
        <w:spacing w:after="0" w:line="240" w:lineRule="auto"/>
      </w:pPr>
      <w:r>
        <w:separator/>
      </w:r>
    </w:p>
  </w:footnote>
  <w:footnote w:type="continuationSeparator" w:id="0">
    <w:p w14:paraId="1C962BB2" w14:textId="77777777" w:rsidR="00901C33" w:rsidRDefault="00901C33" w:rsidP="00C5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BA9C" w14:textId="6B13DE92" w:rsidR="00C50004" w:rsidRPr="00C24473" w:rsidRDefault="00C24473" w:rsidP="00C24473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78668" wp14:editId="59E9FC4B">
              <wp:simplePos x="0" y="0"/>
              <wp:positionH relativeFrom="column">
                <wp:posOffset>1548130</wp:posOffset>
              </wp:positionH>
              <wp:positionV relativeFrom="paragraph">
                <wp:posOffset>-382905</wp:posOffset>
              </wp:positionV>
              <wp:extent cx="4770755" cy="5715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75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EC6117" w14:textId="77777777" w:rsidR="00C24473" w:rsidRPr="00C24473" w:rsidRDefault="00C24473" w:rsidP="00C2447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18"/>
                              <w:lang w:eastAsia="fr-FR"/>
                            </w:rPr>
                          </w:pPr>
                          <w:r w:rsidRPr="00C24473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18"/>
                              <w:lang w:eastAsia="fr-FR"/>
                            </w:rPr>
                            <w:t>COMMUNIQUE DE PRESSE</w:t>
                          </w:r>
                        </w:p>
                        <w:p w14:paraId="7DE29F84" w14:textId="5A963B5C" w:rsidR="00C24473" w:rsidRPr="00C24473" w:rsidRDefault="00C24473" w:rsidP="00C2447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C24473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18"/>
                              <w:lang w:eastAsia="fr-FR"/>
                            </w:rPr>
                            <w:t>14/04/2021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786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21.9pt;margin-top:-30.15pt;width:375.6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" filled="f" stroked="f">
              <v:textbox>
                <w:txbxContent>
                  <w:p w14:paraId="72EC6117" w14:textId="77777777" w:rsidR="00C24473" w:rsidRPr="00C24473" w:rsidRDefault="00C24473" w:rsidP="00C24473">
                    <w:pPr>
                      <w:spacing w:after="0"/>
                      <w:jc w:val="right"/>
                      <w:rPr>
                        <w:b/>
                        <w:bCs/>
                        <w:color w:val="FFFFFF" w:themeColor="background1"/>
                        <w:sz w:val="24"/>
                        <w:szCs w:val="18"/>
                        <w:lang w:eastAsia="fr-FR"/>
                      </w:rPr>
                    </w:pPr>
                    <w:r w:rsidRPr="00C24473">
                      <w:rPr>
                        <w:b/>
                        <w:bCs/>
                        <w:color w:val="FFFFFF" w:themeColor="background1"/>
                        <w:sz w:val="24"/>
                        <w:szCs w:val="18"/>
                        <w:lang w:eastAsia="fr-FR"/>
                      </w:rPr>
                      <w:t>COMMUNIQUE DE PRESSE</w:t>
                    </w:r>
                  </w:p>
                  <w:p w14:paraId="7DE29F84" w14:textId="5A963B5C" w:rsidR="00C24473" w:rsidRPr="00C24473" w:rsidRDefault="00C24473" w:rsidP="00C24473">
                    <w:pPr>
                      <w:spacing w:after="0"/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 w:rsidRPr="00C24473">
                      <w:rPr>
                        <w:b/>
                        <w:bCs/>
                        <w:color w:val="FFFFFF" w:themeColor="background1"/>
                        <w:sz w:val="24"/>
                        <w:szCs w:val="18"/>
                        <w:lang w:eastAsia="fr-FR"/>
                      </w:rPr>
                      <w:t>14/04/2021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0D7FA1E7" wp14:editId="49EC2647">
          <wp:simplePos x="0" y="0"/>
          <wp:positionH relativeFrom="column">
            <wp:posOffset>-537845</wp:posOffset>
          </wp:positionH>
          <wp:positionV relativeFrom="paragraph">
            <wp:posOffset>-382905</wp:posOffset>
          </wp:positionV>
          <wp:extent cx="1475105" cy="45720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E18D2A" wp14:editId="557BB132">
              <wp:simplePos x="0" y="0"/>
              <wp:positionH relativeFrom="column">
                <wp:posOffset>-995045</wp:posOffset>
              </wp:positionH>
              <wp:positionV relativeFrom="paragraph">
                <wp:posOffset>-563880</wp:posOffset>
              </wp:positionV>
              <wp:extent cx="7680325" cy="7143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0325" cy="714375"/>
                      </a:xfrm>
                      <a:prstGeom prst="rect">
                        <a:avLst/>
                      </a:prstGeom>
                      <a:solidFill>
                        <a:srgbClr val="9000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9D9DFE" id="Rectangle 2" o:spid="_x0000_s1026" style="position:absolute;margin-left:-78.35pt;margin-top:-44.4pt;width:604.75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" fillcolor="#90003a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580"/>
    <w:multiLevelType w:val="hybridMultilevel"/>
    <w:tmpl w:val="D9CCE6A6"/>
    <w:lvl w:ilvl="0" w:tplc="1F5EA4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72C5D"/>
    <w:multiLevelType w:val="hybridMultilevel"/>
    <w:tmpl w:val="619287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E70481"/>
    <w:multiLevelType w:val="hybridMultilevel"/>
    <w:tmpl w:val="362EE356"/>
    <w:lvl w:ilvl="0" w:tplc="DBDE5E1E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A325623"/>
    <w:multiLevelType w:val="hybridMultilevel"/>
    <w:tmpl w:val="703E93A8"/>
    <w:lvl w:ilvl="0" w:tplc="4EA81C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E1544"/>
    <w:multiLevelType w:val="hybridMultilevel"/>
    <w:tmpl w:val="2AE4EB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14"/>
    <w:rsid w:val="00041411"/>
    <w:rsid w:val="000C11BA"/>
    <w:rsid w:val="000D5E14"/>
    <w:rsid w:val="000E462F"/>
    <w:rsid w:val="00136883"/>
    <w:rsid w:val="00144B25"/>
    <w:rsid w:val="001459EE"/>
    <w:rsid w:val="00152471"/>
    <w:rsid w:val="0018606B"/>
    <w:rsid w:val="001956C8"/>
    <w:rsid w:val="0019737F"/>
    <w:rsid w:val="001A02E2"/>
    <w:rsid w:val="001C08A5"/>
    <w:rsid w:val="001D44C1"/>
    <w:rsid w:val="001E466B"/>
    <w:rsid w:val="00237B61"/>
    <w:rsid w:val="002867DC"/>
    <w:rsid w:val="0034340E"/>
    <w:rsid w:val="0034754E"/>
    <w:rsid w:val="003635A6"/>
    <w:rsid w:val="00397528"/>
    <w:rsid w:val="003E4D7B"/>
    <w:rsid w:val="004439CC"/>
    <w:rsid w:val="004620D8"/>
    <w:rsid w:val="00482CB1"/>
    <w:rsid w:val="00490DAC"/>
    <w:rsid w:val="004A0FD8"/>
    <w:rsid w:val="004B6314"/>
    <w:rsid w:val="00520DD6"/>
    <w:rsid w:val="00540BC0"/>
    <w:rsid w:val="00542EF3"/>
    <w:rsid w:val="005806B9"/>
    <w:rsid w:val="005C062C"/>
    <w:rsid w:val="00610765"/>
    <w:rsid w:val="00646044"/>
    <w:rsid w:val="006470EE"/>
    <w:rsid w:val="00647D65"/>
    <w:rsid w:val="0069691C"/>
    <w:rsid w:val="006A52DF"/>
    <w:rsid w:val="006B46D9"/>
    <w:rsid w:val="007253E2"/>
    <w:rsid w:val="00734FE1"/>
    <w:rsid w:val="007C6483"/>
    <w:rsid w:val="007E6DB1"/>
    <w:rsid w:val="00811790"/>
    <w:rsid w:val="00815F5D"/>
    <w:rsid w:val="00833E1B"/>
    <w:rsid w:val="00856814"/>
    <w:rsid w:val="00880113"/>
    <w:rsid w:val="008923D6"/>
    <w:rsid w:val="008A3C8A"/>
    <w:rsid w:val="008D5D2B"/>
    <w:rsid w:val="008E4793"/>
    <w:rsid w:val="00901C33"/>
    <w:rsid w:val="009218FB"/>
    <w:rsid w:val="009321D5"/>
    <w:rsid w:val="0094662F"/>
    <w:rsid w:val="00966536"/>
    <w:rsid w:val="00991019"/>
    <w:rsid w:val="009A7B78"/>
    <w:rsid w:val="00A46123"/>
    <w:rsid w:val="00A52911"/>
    <w:rsid w:val="00A5360A"/>
    <w:rsid w:val="00A60A7E"/>
    <w:rsid w:val="00A64C33"/>
    <w:rsid w:val="00AA68C2"/>
    <w:rsid w:val="00B67F2C"/>
    <w:rsid w:val="00B85E0D"/>
    <w:rsid w:val="00B96E0F"/>
    <w:rsid w:val="00BE5A2A"/>
    <w:rsid w:val="00C124D1"/>
    <w:rsid w:val="00C24473"/>
    <w:rsid w:val="00C26091"/>
    <w:rsid w:val="00C50004"/>
    <w:rsid w:val="00C74607"/>
    <w:rsid w:val="00D778F4"/>
    <w:rsid w:val="00D92ABB"/>
    <w:rsid w:val="00E167E8"/>
    <w:rsid w:val="00E44B83"/>
    <w:rsid w:val="00E5212C"/>
    <w:rsid w:val="00E555DD"/>
    <w:rsid w:val="00E811DB"/>
    <w:rsid w:val="00F007D8"/>
    <w:rsid w:val="00F35F28"/>
    <w:rsid w:val="00F452E9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325E33"/>
  <w15:chartTrackingRefBased/>
  <w15:docId w15:val="{89AA6F4E-CFC2-4870-992E-F18075B9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6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604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rsid w:val="004B6314"/>
    <w:pPr>
      <w:widowControl w:val="0"/>
      <w:suppressAutoHyphens/>
      <w:spacing w:after="120" w:line="240" w:lineRule="auto"/>
    </w:pPr>
    <w:rPr>
      <w:rFonts w:ascii="Liberation Sans" w:eastAsia="SimSun" w:hAnsi="Liberation Sans" w:cs="Liberation Sans"/>
      <w:sz w:val="24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uiPriority w:val="99"/>
    <w:rsid w:val="004B6314"/>
    <w:rPr>
      <w:rFonts w:ascii="Liberation Sans" w:eastAsia="SimSun" w:hAnsi="Liberation Sans" w:cs="Liberation Sans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9A7B7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7B7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956C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46044"/>
    <w:rPr>
      <w:rFonts w:asciiTheme="majorHAnsi" w:eastAsiaTheme="majorEastAsia" w:hAnsiTheme="majorHAnsi" w:cstheme="majorBidi"/>
      <w:b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46044"/>
    <w:pPr>
      <w:outlineLvl w:val="9"/>
    </w:pPr>
    <w:rPr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46044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646044"/>
    <w:rPr>
      <w:rFonts w:asciiTheme="majorHAnsi" w:eastAsiaTheme="majorEastAsia" w:hAnsiTheme="majorHAnsi" w:cstheme="majorBidi"/>
      <w:sz w:val="18"/>
      <w:szCs w:val="26"/>
    </w:rPr>
  </w:style>
  <w:style w:type="paragraph" w:styleId="Sansinterligne">
    <w:name w:val="No Spacing"/>
    <w:uiPriority w:val="1"/>
    <w:qFormat/>
    <w:rsid w:val="003635A6"/>
    <w:pPr>
      <w:spacing w:after="0" w:line="240" w:lineRule="auto"/>
    </w:pPr>
  </w:style>
  <w:style w:type="paragraph" w:styleId="TM2">
    <w:name w:val="toc 2"/>
    <w:basedOn w:val="Normal"/>
    <w:next w:val="Normal"/>
    <w:autoRedefine/>
    <w:uiPriority w:val="39"/>
    <w:unhideWhenUsed/>
    <w:rsid w:val="003635A6"/>
    <w:pPr>
      <w:spacing w:after="100"/>
      <w:ind w:left="220"/>
    </w:pPr>
  </w:style>
  <w:style w:type="paragraph" w:styleId="En-tte">
    <w:name w:val="header"/>
    <w:basedOn w:val="Normal"/>
    <w:link w:val="En-tteCar"/>
    <w:uiPriority w:val="99"/>
    <w:unhideWhenUsed/>
    <w:rsid w:val="00C5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004"/>
  </w:style>
  <w:style w:type="paragraph" w:styleId="Pieddepage">
    <w:name w:val="footer"/>
    <w:basedOn w:val="Normal"/>
    <w:link w:val="PieddepageCar"/>
    <w:unhideWhenUsed/>
    <w:rsid w:val="00C5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004"/>
  </w:style>
  <w:style w:type="character" w:styleId="Marquedecommentaire">
    <w:name w:val="annotation reference"/>
    <w:basedOn w:val="Policepardfaut"/>
    <w:uiPriority w:val="99"/>
    <w:semiHidden/>
    <w:unhideWhenUsed/>
    <w:rsid w:val="003E4D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4D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4D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4D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4D7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E4D7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4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D7B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24473"/>
    <w:pPr>
      <w:spacing w:after="0" w:line="276" w:lineRule="auto"/>
      <w:contextualSpacing/>
    </w:pPr>
    <w:rPr>
      <w:rFonts w:ascii="Arial" w:eastAsia="Times New Roman" w:hAnsi="Arial"/>
      <w:color w:val="404040" w:themeColor="text1" w:themeTint="BF"/>
      <w:spacing w:val="5"/>
      <w:kern w:val="28"/>
      <w:sz w:val="48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C24473"/>
    <w:rPr>
      <w:rFonts w:ascii="Arial" w:eastAsia="Times New Roman" w:hAnsi="Arial"/>
      <w:color w:val="404040" w:themeColor="text1" w:themeTint="BF"/>
      <w:spacing w:val="5"/>
      <w:kern w:val="28"/>
      <w:sz w:val="48"/>
      <w:szCs w:val="52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67F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ght.npaconseil.com/2021/03/24/decret-smad-avis-favorable-du-csa-des-contradictions-au-droit-europeen-pour-netfli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64D23-C4EA-4E44-9284-7E36E02E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971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BAILLY</dc:creator>
  <cp:keywords/>
  <dc:description/>
  <cp:lastModifiedBy>Mathieu BARDIL</cp:lastModifiedBy>
  <cp:revision>7</cp:revision>
  <cp:lastPrinted>2021-04-13T12:27:00Z</cp:lastPrinted>
  <dcterms:created xsi:type="dcterms:W3CDTF">2021-04-13T10:28:00Z</dcterms:created>
  <dcterms:modified xsi:type="dcterms:W3CDTF">2021-04-14T09:22:00Z</dcterms:modified>
</cp:coreProperties>
</file>