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9AA" w14:textId="77777777" w:rsidR="007D6DFE" w:rsidRDefault="007D6DFE" w:rsidP="007F466A">
      <w:pPr>
        <w:spacing w:before="120" w:after="0"/>
        <w:ind w:left="-284" w:right="-425"/>
        <w:jc w:val="center"/>
        <w:rPr>
          <w:b/>
          <w:bCs/>
          <w:sz w:val="28"/>
          <w:szCs w:val="28"/>
        </w:rPr>
      </w:pPr>
      <w:r w:rsidRPr="007D6DFE">
        <w:rPr>
          <w:b/>
          <w:bCs/>
          <w:sz w:val="28"/>
          <w:szCs w:val="28"/>
        </w:rPr>
        <w:t>Des contributeurs exceptionnels pour le n°1000 de l’Insight NPA !</w:t>
      </w:r>
    </w:p>
    <w:p w14:paraId="1A3A1E26" w14:textId="77777777" w:rsidR="007D6DFE" w:rsidRPr="007F466A" w:rsidRDefault="007D6DFE" w:rsidP="000E462F">
      <w:pPr>
        <w:spacing w:after="0"/>
        <w:ind w:left="-284" w:right="-426"/>
        <w:jc w:val="both"/>
        <w:rPr>
          <w:b/>
          <w:bCs/>
          <w:sz w:val="18"/>
          <w:szCs w:val="18"/>
        </w:rPr>
      </w:pPr>
    </w:p>
    <w:p w14:paraId="4915BDCF" w14:textId="77777777" w:rsidR="007D6DFE" w:rsidRDefault="007D6DFE" w:rsidP="007F466A">
      <w:pPr>
        <w:spacing w:after="120"/>
        <w:jc w:val="both"/>
      </w:pPr>
      <w:r>
        <w:t>Au printemps 2001, la note de veille INSIGHT NPA (à l’époque dénommée Flash NPA) a été le premier service proposé par NPA Conseils aux professionnels des médias, des télécommunications, de la communication et du numérique.</w:t>
      </w:r>
    </w:p>
    <w:p w14:paraId="6CE10E41" w14:textId="696C844B" w:rsidR="007D6DFE" w:rsidRDefault="007D6DFE" w:rsidP="007F466A">
      <w:pPr>
        <w:spacing w:after="120"/>
        <w:jc w:val="both"/>
      </w:pPr>
      <w:r>
        <w:t xml:space="preserve">Le 15 avril </w:t>
      </w:r>
      <w:r w:rsidR="00D25A4B">
        <w:t xml:space="preserve">2021 </w:t>
      </w:r>
      <w:r>
        <w:t xml:space="preserve">en marquait la </w:t>
      </w:r>
      <w:r w:rsidRPr="007D6DFE">
        <w:rPr>
          <w:b/>
          <w:bCs/>
          <w:i/>
          <w:iCs/>
          <w:color w:val="90003A"/>
        </w:rPr>
        <w:t>1000</w:t>
      </w:r>
      <w:r w:rsidRPr="007D6DFE">
        <w:rPr>
          <w:b/>
          <w:bCs/>
          <w:i/>
          <w:iCs/>
          <w:color w:val="90003A"/>
          <w:vertAlign w:val="superscript"/>
        </w:rPr>
        <w:t>e</w:t>
      </w:r>
      <w:r w:rsidRPr="007D6DFE">
        <w:rPr>
          <w:b/>
          <w:bCs/>
          <w:color w:val="000000" w:themeColor="text1"/>
        </w:rPr>
        <w:t xml:space="preserve"> parution</w:t>
      </w:r>
      <w:r>
        <w:t>.</w:t>
      </w:r>
    </w:p>
    <w:p w14:paraId="6505F305" w14:textId="27C4EA1B" w:rsidR="007D6DFE" w:rsidRDefault="007D6DFE" w:rsidP="007D6DFE">
      <w:pPr>
        <w:jc w:val="both"/>
      </w:pPr>
      <w:r>
        <w:t xml:space="preserve">Pour l’occasion, et au travers de </w:t>
      </w:r>
      <w:r w:rsidR="00D25A4B">
        <w:t xml:space="preserve">5 </w:t>
      </w:r>
      <w:r>
        <w:t>dossiers spéciaux, les consultants de NPA se sont attachés à décrypter les tendances majeures qui marqueront la prochaine décennie :</w:t>
      </w:r>
    </w:p>
    <w:p w14:paraId="764ACC55" w14:textId="279780A6" w:rsidR="007D6DFE" w:rsidRPr="007D6DFE" w:rsidRDefault="007D6DFE" w:rsidP="007D6DFE">
      <w:pPr>
        <w:numPr>
          <w:ilvl w:val="0"/>
          <w:numId w:val="6"/>
        </w:numPr>
        <w:spacing w:after="0" w:line="240" w:lineRule="auto"/>
        <w:ind w:left="714" w:hanging="357"/>
        <w:rPr>
          <w:b/>
          <w:bCs/>
          <w:color w:val="90003A"/>
        </w:rPr>
      </w:pPr>
      <w:r w:rsidRPr="007D6DFE">
        <w:rPr>
          <w:b/>
          <w:bCs/>
          <w:color w:val="90003A"/>
        </w:rPr>
        <w:t>Les Enjeux d’une connectivité globale en 2030 </w:t>
      </w:r>
    </w:p>
    <w:p w14:paraId="7A2F2011" w14:textId="722FFD7C" w:rsidR="007D6DFE" w:rsidRDefault="00F423CC" w:rsidP="007F466A">
      <w:pPr>
        <w:spacing w:after="120" w:line="240" w:lineRule="auto"/>
        <w:jc w:val="both"/>
      </w:pPr>
      <w:r>
        <w:t>Trois milliards d’humain</w:t>
      </w:r>
      <w:r w:rsidR="008C7A37">
        <w:t>s</w:t>
      </w:r>
      <w:r>
        <w:t xml:space="preserve"> à connecter avant la fin de la décennie. Un débouché majeur pour les industries culturelles mais un défi financier et technologique sans précédent pour les télécoms.</w:t>
      </w:r>
    </w:p>
    <w:p w14:paraId="2E8DD317" w14:textId="4C48B578" w:rsidR="007D6DFE" w:rsidRDefault="007D6DFE" w:rsidP="007D6DFE">
      <w:pPr>
        <w:numPr>
          <w:ilvl w:val="0"/>
          <w:numId w:val="6"/>
        </w:numPr>
        <w:spacing w:after="0" w:line="240" w:lineRule="auto"/>
      </w:pPr>
      <w:r w:rsidRPr="007D6DFE">
        <w:rPr>
          <w:b/>
          <w:bCs/>
          <w:color w:val="90003A"/>
        </w:rPr>
        <w:t>La régulation, entre approche globale</w:t>
      </w:r>
      <w:r w:rsidRPr="007D6DFE">
        <w:rPr>
          <w:color w:val="90003A"/>
        </w:rPr>
        <w:t xml:space="preserve"> </w:t>
      </w:r>
      <w:r w:rsidRPr="007D6DFE">
        <w:t xml:space="preserve">des acteurs mondiaux et volonté des Etats de défendre leur </w:t>
      </w:r>
      <w:r w:rsidRPr="007D6DFE">
        <w:rPr>
          <w:b/>
          <w:bCs/>
          <w:color w:val="90003A"/>
        </w:rPr>
        <w:t>souveraineté numérique</w:t>
      </w:r>
    </w:p>
    <w:p w14:paraId="20E53D53" w14:textId="6437E828" w:rsidR="00F423CC" w:rsidRDefault="00F423CC" w:rsidP="007F466A">
      <w:pPr>
        <w:spacing w:after="120" w:line="240" w:lineRule="auto"/>
        <w:jc w:val="both"/>
      </w:pPr>
      <w:r w:rsidRPr="00F423CC">
        <w:t xml:space="preserve">La capacité à maîtriser son destin numérique est une préoccupation majeure </w:t>
      </w:r>
      <w:r>
        <w:t>pour l</w:t>
      </w:r>
      <w:r w:rsidRPr="00F423CC">
        <w:t>es dirigeants politiques des nations dominées par la technologie américaine et demain aussi sans doute chinoise. Fiscalité, industrie, innovation : la souveraineté numérique est multidimensionnelle. Autant d’enjeux à relever pour l’atteindre.</w:t>
      </w:r>
    </w:p>
    <w:p w14:paraId="11E7D6BA" w14:textId="12E8B7FA" w:rsidR="007D6DFE" w:rsidRDefault="007D6DFE" w:rsidP="007D6DFE">
      <w:pPr>
        <w:numPr>
          <w:ilvl w:val="0"/>
          <w:numId w:val="6"/>
        </w:numPr>
        <w:spacing w:after="0" w:line="240" w:lineRule="auto"/>
      </w:pPr>
      <w:r w:rsidRPr="007D6DFE">
        <w:rPr>
          <w:b/>
          <w:bCs/>
          <w:color w:val="90003A"/>
        </w:rPr>
        <w:t>Business models</w:t>
      </w:r>
      <w:r w:rsidRPr="007D6DFE">
        <w:t xml:space="preserve"> : </w:t>
      </w:r>
      <w:r w:rsidRPr="008C7A37">
        <w:rPr>
          <w:b/>
          <w:bCs/>
          <w:color w:val="90003A"/>
        </w:rPr>
        <w:t>réinventer l’économie des secteurs culturels</w:t>
      </w:r>
    </w:p>
    <w:p w14:paraId="226FB76A" w14:textId="03F51CC8" w:rsidR="007536CB" w:rsidRPr="007D6DFE" w:rsidRDefault="007536CB" w:rsidP="007F466A">
      <w:pPr>
        <w:spacing w:after="120" w:line="240" w:lineRule="auto"/>
        <w:jc w:val="both"/>
      </w:pPr>
      <w:r>
        <w:t>L’économie des industries culturelles a engagé sa dématérialisation</w:t>
      </w:r>
      <w:r w:rsidRPr="007536CB">
        <w:t xml:space="preserve"> dès la fin des années 1990. Le basculement </w:t>
      </w:r>
      <w:r>
        <w:t xml:space="preserve">des usages est presque </w:t>
      </w:r>
      <w:r w:rsidR="001704F0">
        <w:t>total</w:t>
      </w:r>
      <w:r>
        <w:t>, et l</w:t>
      </w:r>
      <w:r w:rsidRPr="007536CB">
        <w:t xml:space="preserve">a crise sanitaire </w:t>
      </w:r>
      <w:r>
        <w:t>a contribué à l’accélérer encore</w:t>
      </w:r>
      <w:r w:rsidRPr="007536CB">
        <w:t xml:space="preserve">. </w:t>
      </w:r>
      <w:r>
        <w:t>La</w:t>
      </w:r>
      <w:r w:rsidRPr="007536CB">
        <w:t xml:space="preserve"> révolution des modes de distribution des biens culturels et des modèles économiques </w:t>
      </w:r>
      <w:r>
        <w:t>associés reste, elle, à achever</w:t>
      </w:r>
      <w:r w:rsidRPr="007536CB">
        <w:t>.</w:t>
      </w:r>
    </w:p>
    <w:p w14:paraId="062547FC" w14:textId="23364554" w:rsidR="007D6DFE" w:rsidRPr="007D6DFE" w:rsidRDefault="007D6DFE" w:rsidP="007D6DFE">
      <w:pPr>
        <w:numPr>
          <w:ilvl w:val="0"/>
          <w:numId w:val="6"/>
        </w:numPr>
        <w:spacing w:after="0" w:line="240" w:lineRule="auto"/>
        <w:rPr>
          <w:b/>
          <w:bCs/>
          <w:color w:val="90003A"/>
        </w:rPr>
      </w:pPr>
      <w:r w:rsidRPr="007D6DFE">
        <w:rPr>
          <w:b/>
          <w:bCs/>
          <w:color w:val="90003A"/>
        </w:rPr>
        <w:t>L’avenir de l’audiovisuel et de ses contenus</w:t>
      </w:r>
    </w:p>
    <w:p w14:paraId="1E745FA9" w14:textId="4C8F5E68" w:rsidR="007536CB" w:rsidRPr="007D6DFE" w:rsidRDefault="007536CB" w:rsidP="007F466A">
      <w:pPr>
        <w:spacing w:after="120" w:line="240" w:lineRule="auto"/>
        <w:jc w:val="both"/>
      </w:pPr>
      <w:r w:rsidRPr="007536CB">
        <w:t>Si la crise sanitaire a profité à la consommation de programmes, elle a aussi bénéficié à d’autres pratiques numériques, notamment le jeu vidéo</w:t>
      </w:r>
      <w:r>
        <w:t xml:space="preserve">. </w:t>
      </w:r>
      <w:r w:rsidRPr="007536CB">
        <w:t>Face à la multiplication des services, préparer au mieux l’après-crise sanitaire suppose aussi de revoir certains fondamentaux. La mesure des usages et le suivi du marché publicitaire en particulier</w:t>
      </w:r>
    </w:p>
    <w:p w14:paraId="5F473AAE" w14:textId="13D67D38" w:rsidR="007D6DFE" w:rsidRDefault="007D6DFE" w:rsidP="007D6DFE">
      <w:pPr>
        <w:numPr>
          <w:ilvl w:val="0"/>
          <w:numId w:val="6"/>
        </w:numPr>
        <w:spacing w:after="0" w:line="240" w:lineRule="auto"/>
      </w:pPr>
      <w:r w:rsidRPr="007D6DFE">
        <w:rPr>
          <w:b/>
          <w:bCs/>
          <w:color w:val="90003A"/>
        </w:rPr>
        <w:t>Les nouveaux pôles</w:t>
      </w:r>
      <w:r w:rsidRPr="007D6DFE">
        <w:rPr>
          <w:color w:val="90003A"/>
        </w:rPr>
        <w:t xml:space="preserve"> </w:t>
      </w:r>
      <w:r w:rsidRPr="008C7A37">
        <w:rPr>
          <w:b/>
          <w:bCs/>
          <w:color w:val="90003A"/>
        </w:rPr>
        <w:t>de croissance</w:t>
      </w:r>
      <w:r w:rsidRPr="007D6DFE">
        <w:t xml:space="preserve"> du numérique et de l’audiovisuel</w:t>
      </w:r>
      <w:r w:rsidR="008C7A37">
        <w:t> :</w:t>
      </w:r>
      <w:r w:rsidR="008C7A37" w:rsidRPr="008C7A37">
        <w:t xml:space="preserve"> </w:t>
      </w:r>
      <w:r w:rsidR="008C7A37" w:rsidRPr="008C7A37">
        <w:rPr>
          <w:b/>
          <w:bCs/>
          <w:color w:val="90003A"/>
        </w:rPr>
        <w:t>Afrique</w:t>
      </w:r>
      <w:r w:rsidR="008C7A37" w:rsidRPr="008C7A37">
        <w:rPr>
          <w:b/>
          <w:bCs/>
          <w:color w:val="90003A"/>
        </w:rPr>
        <w:t xml:space="preserve">, </w:t>
      </w:r>
      <w:r w:rsidR="008C7A37" w:rsidRPr="008C7A37">
        <w:rPr>
          <w:b/>
          <w:bCs/>
          <w:color w:val="90003A"/>
        </w:rPr>
        <w:t>Inde</w:t>
      </w:r>
      <w:r w:rsidR="008C7A37" w:rsidRPr="008C7A37">
        <w:rPr>
          <w:b/>
          <w:bCs/>
          <w:color w:val="90003A"/>
        </w:rPr>
        <w:t>,</w:t>
      </w:r>
      <w:r w:rsidR="008C7A37" w:rsidRPr="008C7A37">
        <w:rPr>
          <w:b/>
          <w:bCs/>
          <w:color w:val="90003A"/>
        </w:rPr>
        <w:t xml:space="preserve"> Chine</w:t>
      </w:r>
    </w:p>
    <w:p w14:paraId="5884965C" w14:textId="5FDAD89C" w:rsidR="007D6DFE" w:rsidRDefault="00FB213D" w:rsidP="00FB213D">
      <w:pPr>
        <w:jc w:val="both"/>
      </w:pPr>
      <w:r w:rsidRPr="00FB213D">
        <w:t>Retard numérique, croissance démographie exceptionnelle,</w:t>
      </w:r>
      <w:r>
        <w:t xml:space="preserve"> et ambition de</w:t>
      </w:r>
      <w:r w:rsidRPr="00FB213D">
        <w:t xml:space="preserve"> s’affirmer </w:t>
      </w:r>
      <w:r>
        <w:t>parmi les premières</w:t>
      </w:r>
      <w:r w:rsidRPr="00FB213D">
        <w:t xml:space="preserve"> puissance</w:t>
      </w:r>
      <w:r>
        <w:t>s</w:t>
      </w:r>
      <w:r w:rsidRPr="00FB213D">
        <w:t xml:space="preserve"> mondiale</w:t>
      </w:r>
      <w:r>
        <w:t>s</w:t>
      </w:r>
      <w:r w:rsidRPr="00FB213D">
        <w:t xml:space="preserve"> : l’Afrique subsaharienne, l’Inde et la Chine sont les terres numériques et audiovisuelles de demain. Et les GAFA et autres acteurs régionaux et internationaux du marché de l’audiovisuel</w:t>
      </w:r>
      <w:r>
        <w:t xml:space="preserve"> </w:t>
      </w:r>
      <w:r w:rsidRPr="00FB213D">
        <w:t>veulent conquérir ces zones.</w:t>
      </w:r>
    </w:p>
    <w:p w14:paraId="70CAD48F" w14:textId="69864497" w:rsidR="004D0E37" w:rsidRDefault="007D6DFE" w:rsidP="007D6DFE">
      <w:pPr>
        <w:jc w:val="both"/>
      </w:pPr>
      <w:r>
        <w:t xml:space="preserve">Ce jeudi 22 avril, c’est une équipe de </w:t>
      </w:r>
      <w:r w:rsidR="00D25A4B" w:rsidRPr="00D25A4B">
        <w:rPr>
          <w:b/>
          <w:bCs/>
        </w:rPr>
        <w:t xml:space="preserve">23 </w:t>
      </w:r>
      <w:r w:rsidRPr="00D25A4B">
        <w:rPr>
          <w:b/>
          <w:bCs/>
        </w:rPr>
        <w:t>contributeurs exceptionnel</w:t>
      </w:r>
      <w:bookmarkStart w:id="0" w:name="_GoBack"/>
      <w:bookmarkEnd w:id="0"/>
      <w:r w:rsidRPr="00D25A4B">
        <w:rPr>
          <w:b/>
          <w:bCs/>
        </w:rPr>
        <w:t>s</w:t>
      </w:r>
      <w:r>
        <w:t xml:space="preserve"> qui partagent leur vision des enjeux clés : </w:t>
      </w:r>
    </w:p>
    <w:p w14:paraId="1DBE9A60" w14:textId="2DD9CC2C" w:rsidR="007D6DFE" w:rsidRDefault="00D25A4B" w:rsidP="004D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0E37">
        <w:rPr>
          <w:b/>
          <w:bCs/>
          <w:i/>
          <w:iCs/>
          <w:color w:val="90003A"/>
        </w:rPr>
        <w:t>Raphael</w:t>
      </w:r>
      <w:r w:rsidRPr="00D25A4B">
        <w:rPr>
          <w:b/>
          <w:bCs/>
          <w:i/>
          <w:iCs/>
          <w:color w:val="90003A"/>
        </w:rPr>
        <w:t xml:space="preserve"> </w:t>
      </w:r>
      <w:r>
        <w:rPr>
          <w:b/>
          <w:bCs/>
          <w:i/>
          <w:iCs/>
          <w:color w:val="90003A"/>
        </w:rPr>
        <w:t>d</w:t>
      </w:r>
      <w:r w:rsidRPr="004D0E37">
        <w:rPr>
          <w:b/>
          <w:bCs/>
          <w:i/>
          <w:iCs/>
          <w:color w:val="90003A"/>
        </w:rPr>
        <w:t>e Andreis</w:t>
      </w:r>
      <w:r>
        <w:t xml:space="preserve"> (Havas) ; </w:t>
      </w:r>
      <w:r w:rsidR="007D6DFE" w:rsidRPr="004D0E37">
        <w:rPr>
          <w:b/>
          <w:bCs/>
          <w:i/>
          <w:iCs/>
          <w:color w:val="90003A"/>
        </w:rPr>
        <w:t>Yves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Bigot</w:t>
      </w:r>
      <w:r w:rsidR="007D6DFE">
        <w:t xml:space="preserve"> (TV5 Monde) ; </w:t>
      </w:r>
      <w:r w:rsidR="007D6DFE" w:rsidRPr="004D0E37">
        <w:rPr>
          <w:b/>
          <w:bCs/>
          <w:i/>
          <w:iCs/>
          <w:color w:val="90003A"/>
        </w:rPr>
        <w:t>Edouard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Boccon-Gibod</w:t>
      </w:r>
      <w:r w:rsidR="007D6DFE">
        <w:t xml:space="preserve"> (EuropaCorp) ; </w:t>
      </w:r>
      <w:r w:rsidR="007D6DFE" w:rsidRPr="004D0E37">
        <w:rPr>
          <w:b/>
          <w:bCs/>
          <w:i/>
          <w:iCs/>
          <w:color w:val="90003A"/>
        </w:rPr>
        <w:t>Christian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Bombrun</w:t>
      </w:r>
      <w:r w:rsidR="007D6DFE">
        <w:t xml:space="preserve"> (Orange) ; </w:t>
      </w:r>
      <w:r w:rsidR="007D6DFE" w:rsidRPr="004D0E37">
        <w:rPr>
          <w:b/>
          <w:bCs/>
          <w:i/>
          <w:iCs/>
          <w:color w:val="90003A"/>
        </w:rPr>
        <w:t>Pascal</w:t>
      </w:r>
      <w:r w:rsidR="007D6DFE">
        <w:t xml:space="preserve"> </w:t>
      </w:r>
      <w:r w:rsidRPr="004D0E37">
        <w:rPr>
          <w:b/>
          <w:bCs/>
          <w:i/>
          <w:iCs/>
          <w:color w:val="90003A"/>
        </w:rPr>
        <w:t xml:space="preserve">Breton </w:t>
      </w:r>
      <w:r w:rsidR="007D6DFE">
        <w:t xml:space="preserve">(Fédération Entertainment) ; </w:t>
      </w:r>
      <w:r w:rsidR="007D6DFE" w:rsidRPr="004D0E37">
        <w:rPr>
          <w:b/>
          <w:bCs/>
          <w:i/>
          <w:iCs/>
          <w:color w:val="90003A"/>
        </w:rPr>
        <w:t>Pierre-Antoine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Capton</w:t>
      </w:r>
      <w:r w:rsidR="007D6DFE" w:rsidRPr="007D6DFE">
        <w:t xml:space="preserve"> </w:t>
      </w:r>
      <w:r w:rsidR="007D6DFE">
        <w:t xml:space="preserve">(Mediawan) ; </w:t>
      </w:r>
      <w:r w:rsidR="007D6DFE" w:rsidRPr="004D0E37">
        <w:rPr>
          <w:b/>
          <w:bCs/>
          <w:i/>
          <w:iCs/>
          <w:color w:val="90003A"/>
        </w:rPr>
        <w:t>Marie-Laure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Daridan</w:t>
      </w:r>
      <w:r w:rsidR="00AC5212">
        <w:t xml:space="preserve"> (Netflix) ; </w:t>
      </w:r>
      <w:r w:rsidR="00AC5212" w:rsidRPr="004D0E37">
        <w:rPr>
          <w:b/>
          <w:bCs/>
          <w:i/>
          <w:iCs/>
          <w:color w:val="90003A"/>
        </w:rPr>
        <w:t>Arthur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Dreyfuss</w:t>
      </w:r>
      <w:r w:rsidR="00AC5212">
        <w:t xml:space="preserve"> (</w:t>
      </w:r>
      <w:r w:rsidR="004D0E37">
        <w:t>Altice Media France</w:t>
      </w:r>
      <w:r w:rsidR="00AC5212">
        <w:t xml:space="preserve">) ; </w:t>
      </w:r>
      <w:r w:rsidR="00AC5212" w:rsidRPr="004D0E37">
        <w:rPr>
          <w:b/>
          <w:bCs/>
          <w:i/>
          <w:iCs/>
          <w:color w:val="90003A"/>
        </w:rPr>
        <w:t>Delphine</w:t>
      </w:r>
      <w:r w:rsidR="00AC5212" w:rsidRPr="00AC5212">
        <w:t xml:space="preserve"> </w:t>
      </w:r>
      <w:r w:rsidRPr="004D0E37">
        <w:rPr>
          <w:b/>
          <w:bCs/>
          <w:i/>
          <w:iCs/>
          <w:color w:val="90003A"/>
        </w:rPr>
        <w:t xml:space="preserve">Ernotte </w:t>
      </w:r>
      <w:r w:rsidR="00AC5212">
        <w:t>(France Télévision) ;</w:t>
      </w:r>
      <w:r w:rsidR="00AC5212" w:rsidRPr="00AC5212">
        <w:t xml:space="preserve"> </w:t>
      </w:r>
      <w:r w:rsidR="00AC5212" w:rsidRPr="004D0E37">
        <w:rPr>
          <w:b/>
          <w:bCs/>
          <w:i/>
          <w:iCs/>
          <w:color w:val="90003A"/>
        </w:rPr>
        <w:t>H</w:t>
      </w:r>
      <w:r>
        <w:rPr>
          <w:b/>
          <w:bCs/>
          <w:i/>
          <w:iCs/>
          <w:color w:val="90003A"/>
        </w:rPr>
        <w:t>élè</w:t>
      </w:r>
      <w:r w:rsidR="00AC5212" w:rsidRPr="004D0E37">
        <w:rPr>
          <w:b/>
          <w:bCs/>
          <w:i/>
          <w:iCs/>
          <w:color w:val="90003A"/>
        </w:rPr>
        <w:t>ne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Etzi</w:t>
      </w:r>
      <w:r w:rsidR="00AC5212" w:rsidRPr="00AC5212">
        <w:t xml:space="preserve"> </w:t>
      </w:r>
      <w:r w:rsidR="00AC5212">
        <w:t xml:space="preserve">(Walt Disney Company France) ; </w:t>
      </w:r>
      <w:r w:rsidR="00AC5212" w:rsidRPr="004D0E37">
        <w:rPr>
          <w:b/>
          <w:bCs/>
          <w:i/>
          <w:iCs/>
          <w:color w:val="90003A"/>
        </w:rPr>
        <w:t>Bibiane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 xml:space="preserve">Godfroid </w:t>
      </w:r>
      <w:r w:rsidR="00AC5212">
        <w:t>(</w:t>
      </w:r>
      <w:r>
        <w:t>Newen</w:t>
      </w:r>
      <w:r w:rsidR="00AC5212">
        <w:t xml:space="preserve">) ; </w:t>
      </w:r>
      <w:r w:rsidR="00AC5212" w:rsidRPr="004D0E37">
        <w:rPr>
          <w:b/>
          <w:bCs/>
          <w:i/>
          <w:iCs/>
          <w:color w:val="90003A"/>
        </w:rPr>
        <w:t>Roch-Olivier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Maistre</w:t>
      </w:r>
      <w:r w:rsidR="00AC5212" w:rsidRPr="00AC5212">
        <w:t xml:space="preserve"> </w:t>
      </w:r>
      <w:r w:rsidR="00AC5212">
        <w:t xml:space="preserve">(CSA) ; </w:t>
      </w:r>
      <w:r w:rsidR="00AC5212" w:rsidRPr="004D0E37">
        <w:rPr>
          <w:b/>
          <w:bCs/>
          <w:i/>
          <w:iCs/>
          <w:color w:val="90003A"/>
        </w:rPr>
        <w:t>Marc</w:t>
      </w:r>
      <w:r w:rsidR="00AC5212" w:rsidRPr="00AC5212">
        <w:t xml:space="preserve"> </w:t>
      </w:r>
      <w:r w:rsidRPr="004D0E37">
        <w:rPr>
          <w:b/>
          <w:bCs/>
          <w:i/>
          <w:iCs/>
          <w:color w:val="90003A"/>
        </w:rPr>
        <w:t xml:space="preserve">Missonnier </w:t>
      </w:r>
      <w:r w:rsidR="00AC5212">
        <w:t>(Moana Films) ;</w:t>
      </w:r>
      <w:r w:rsidR="00AC5212" w:rsidRPr="00AC5212">
        <w:t xml:space="preserve"> </w:t>
      </w:r>
      <w:r w:rsidR="00AC5212" w:rsidRPr="004D0E37">
        <w:rPr>
          <w:b/>
          <w:bCs/>
          <w:i/>
          <w:iCs/>
          <w:color w:val="90003A"/>
        </w:rPr>
        <w:t>Gilles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Pélisson</w:t>
      </w:r>
      <w:r w:rsidR="00AC5212">
        <w:t xml:space="preserve"> (TF1) ; </w:t>
      </w:r>
      <w:r w:rsidR="00AC5212" w:rsidRPr="004D0E37">
        <w:rPr>
          <w:b/>
          <w:bCs/>
          <w:i/>
          <w:iCs/>
          <w:color w:val="90003A"/>
        </w:rPr>
        <w:t>Pascal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Rogard</w:t>
      </w:r>
      <w:r w:rsidR="00AC5212" w:rsidRPr="004D0E37">
        <w:rPr>
          <w:b/>
          <w:bCs/>
          <w:i/>
          <w:iCs/>
          <w:color w:val="90003A"/>
        </w:rPr>
        <w:t xml:space="preserve"> </w:t>
      </w:r>
      <w:r w:rsidR="00AC5212">
        <w:t xml:space="preserve">(SACD) ; </w:t>
      </w:r>
      <w:r w:rsidR="00AC5212" w:rsidRPr="004D0E37">
        <w:rPr>
          <w:b/>
          <w:bCs/>
          <w:i/>
          <w:iCs/>
          <w:color w:val="90003A"/>
        </w:rPr>
        <w:t>Hervé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Rony</w:t>
      </w:r>
      <w:r w:rsidR="00AC5212" w:rsidRPr="00AC5212">
        <w:t xml:space="preserve"> </w:t>
      </w:r>
      <w:r w:rsidR="00AC5212">
        <w:t xml:space="preserve">(SCAM) ; </w:t>
      </w:r>
      <w:r w:rsidR="004D0E37" w:rsidRPr="004D0E37">
        <w:rPr>
          <w:b/>
          <w:bCs/>
          <w:i/>
          <w:iCs/>
          <w:color w:val="90003A"/>
        </w:rPr>
        <w:t>Stéphane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Roussel</w:t>
      </w:r>
      <w:r w:rsidR="004D0E37">
        <w:t xml:space="preserve"> (Vivendi) ; </w:t>
      </w:r>
      <w:r w:rsidR="00AC5212" w:rsidRPr="004D0E37">
        <w:rPr>
          <w:b/>
          <w:bCs/>
          <w:i/>
          <w:iCs/>
          <w:color w:val="90003A"/>
        </w:rPr>
        <w:t>Maxime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Saada</w:t>
      </w:r>
      <w:r w:rsidR="00AC5212">
        <w:t xml:space="preserve"> (CANAL +) ; </w:t>
      </w:r>
      <w:r w:rsidR="00AC5212" w:rsidRPr="004D0E37">
        <w:rPr>
          <w:b/>
          <w:bCs/>
          <w:i/>
          <w:iCs/>
          <w:color w:val="90003A"/>
        </w:rPr>
        <w:t>Marie-Christine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Saragosse</w:t>
      </w:r>
      <w:r w:rsidR="00AC5212">
        <w:t xml:space="preserve"> (</w:t>
      </w:r>
      <w:r>
        <w:t>France Médias Monde</w:t>
      </w:r>
      <w:r w:rsidR="00AC5212">
        <w:t xml:space="preserve">) ; </w:t>
      </w:r>
      <w:r w:rsidR="00AC5212" w:rsidRPr="004D0E37">
        <w:rPr>
          <w:b/>
          <w:bCs/>
          <w:i/>
          <w:iCs/>
          <w:color w:val="90003A"/>
        </w:rPr>
        <w:t>Laurent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Solly</w:t>
      </w:r>
      <w:r w:rsidR="00AC5212">
        <w:t xml:space="preserve"> (Facebook) ; </w:t>
      </w:r>
      <w:r w:rsidRPr="004D0E37">
        <w:rPr>
          <w:b/>
          <w:bCs/>
          <w:i/>
          <w:iCs/>
          <w:color w:val="90003A"/>
        </w:rPr>
        <w:t>Nicolas</w:t>
      </w:r>
      <w:r w:rsidRPr="00D25A4B">
        <w:rPr>
          <w:b/>
          <w:bCs/>
          <w:i/>
          <w:iCs/>
          <w:color w:val="90003A"/>
        </w:rPr>
        <w:t xml:space="preserve"> </w:t>
      </w:r>
      <w:r>
        <w:rPr>
          <w:b/>
          <w:bCs/>
          <w:i/>
          <w:iCs/>
          <w:color w:val="90003A"/>
        </w:rPr>
        <w:t>d</w:t>
      </w:r>
      <w:r w:rsidRPr="004D0E37">
        <w:rPr>
          <w:b/>
          <w:bCs/>
          <w:i/>
          <w:iCs/>
          <w:color w:val="90003A"/>
        </w:rPr>
        <w:t>e Tavernost</w:t>
      </w:r>
      <w:r>
        <w:t xml:space="preserve"> (M6) ; </w:t>
      </w:r>
      <w:r w:rsidR="00AC5212" w:rsidRPr="004D0E37">
        <w:rPr>
          <w:b/>
          <w:bCs/>
          <w:i/>
          <w:iCs/>
          <w:color w:val="90003A"/>
        </w:rPr>
        <w:t>Sibyle</w:t>
      </w:r>
      <w:r w:rsidRPr="00D25A4B">
        <w:rPr>
          <w:b/>
          <w:bCs/>
          <w:i/>
          <w:iCs/>
          <w:color w:val="90003A"/>
        </w:rPr>
        <w:t xml:space="preserve"> </w:t>
      </w:r>
      <w:r w:rsidRPr="004D0E37">
        <w:rPr>
          <w:b/>
          <w:bCs/>
          <w:i/>
          <w:iCs/>
          <w:color w:val="90003A"/>
        </w:rPr>
        <w:t>Veil</w:t>
      </w:r>
      <w:r w:rsidR="00AC5212">
        <w:t xml:space="preserve"> (Radio France)</w:t>
      </w:r>
      <w:r>
        <w:t>.</w:t>
      </w:r>
    </w:p>
    <w:p w14:paraId="7234EEDD" w14:textId="77777777" w:rsidR="007D6DFE" w:rsidRDefault="007D6DFE" w:rsidP="007F466A">
      <w:pPr>
        <w:spacing w:after="120"/>
        <w:jc w:val="both"/>
      </w:pPr>
      <w:r>
        <w:t>NPA Conseil les en remercie très chaleureusement, et est heureux de partager gracieusement ce dossier vraiment spécial avec l’ensemble des professionnels.</w:t>
      </w:r>
    </w:p>
    <w:p w14:paraId="197ED2E3" w14:textId="77777777" w:rsidR="0007162D" w:rsidRDefault="007F466A" w:rsidP="007F466A">
      <w:pPr>
        <w:tabs>
          <w:tab w:val="left" w:pos="900"/>
          <w:tab w:val="center" w:pos="4536"/>
        </w:tabs>
        <w:rPr>
          <w:rStyle w:val="Lienhypertexte"/>
          <w:b/>
          <w:bCs/>
          <w:i/>
          <w:iCs/>
          <w:color w:val="90003A"/>
          <w:sz w:val="40"/>
          <w:szCs w:val="40"/>
        </w:rPr>
        <w:sectPr w:rsidR="0007162D" w:rsidSect="0007162D">
          <w:headerReference w:type="default" r:id="rId8"/>
          <w:footerReference w:type="default" r:id="rId9"/>
          <w:pgSz w:w="11906" w:h="16838"/>
          <w:pgMar w:top="851" w:right="1417" w:bottom="568" w:left="1417" w:header="708" w:footer="386" w:gutter="0"/>
          <w:cols w:space="708"/>
          <w:docGrid w:linePitch="360"/>
        </w:sectPr>
      </w:pPr>
      <w:r>
        <w:tab/>
      </w:r>
      <w:r>
        <w:tab/>
      </w:r>
      <w:r w:rsidR="007D6DFE" w:rsidRPr="004D0E37">
        <w:t xml:space="preserve">Il vous suffit pour cela de </w:t>
      </w:r>
      <w:hyperlink r:id="rId10" w:history="1">
        <w:r w:rsidR="007D6DFE" w:rsidRPr="004D0E37">
          <w:rPr>
            <w:rStyle w:val="Lienhypertexte"/>
            <w:b/>
            <w:bCs/>
            <w:i/>
            <w:iCs/>
            <w:color w:val="90003A"/>
            <w:sz w:val="40"/>
            <w:szCs w:val="40"/>
          </w:rPr>
          <w:t>cliquer ici</w:t>
        </w:r>
      </w:hyperlink>
    </w:p>
    <w:p w14:paraId="442744D6" w14:textId="33B859DF" w:rsidR="00083F34" w:rsidRDefault="00083F34" w:rsidP="00F35319">
      <w:pPr>
        <w:tabs>
          <w:tab w:val="left" w:pos="900"/>
          <w:tab w:val="center" w:pos="4536"/>
        </w:tabs>
        <w:spacing w:before="240"/>
        <w:jc w:val="center"/>
        <w:rPr>
          <w:b/>
          <w:bCs/>
        </w:rPr>
      </w:pPr>
      <w:r w:rsidRPr="00083F34">
        <w:rPr>
          <w:b/>
          <w:bCs/>
        </w:rPr>
        <w:lastRenderedPageBreak/>
        <w:t>Ils nous ont dit :</w:t>
      </w:r>
    </w:p>
    <w:p w14:paraId="1D5FC78F" w14:textId="2F0E17C8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0" w:line="240" w:lineRule="auto"/>
        <w:jc w:val="both"/>
      </w:pPr>
      <w:r w:rsidRPr="00F35319">
        <w:rPr>
          <w:b/>
          <w:bCs/>
          <w:color w:val="90003A"/>
        </w:rPr>
        <w:t>YVES BIGOT :</w:t>
      </w:r>
      <w:r>
        <w:t xml:space="preserve"> </w:t>
      </w:r>
      <w:r w:rsidRPr="00F35319">
        <w:rPr>
          <w:i/>
          <w:iCs/>
        </w:rPr>
        <w:t>« Financer le service public audiovisuel sera plus que jamais le prix de la liberté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2D5FDD1C" w14:textId="39822AE3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ÉDOUARD BOCCON-GIBOD</w:t>
      </w:r>
      <w:r w:rsidRPr="00F35319">
        <w:rPr>
          <w:b/>
          <w:bCs/>
        </w:rPr>
        <w:t xml:space="preserve"> : </w:t>
      </w:r>
      <w:r w:rsidRPr="00F35319">
        <w:rPr>
          <w:i/>
          <w:iCs/>
        </w:rPr>
        <w:t>« La vente annoncée de M6 marque le début de la tectonique des plaques»</w:t>
      </w:r>
    </w:p>
    <w:p w14:paraId="31931957" w14:textId="0F8E3F70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CHRISTIAN BOMBRUN :</w:t>
      </w:r>
      <w:r>
        <w:t xml:space="preserve"> </w:t>
      </w:r>
      <w:r w:rsidRPr="00F35319">
        <w:rPr>
          <w:i/>
          <w:iCs/>
        </w:rPr>
        <w:t>« Permettre aux plateformes de contribuer à la création, et aux acteurs historiques de continuer à jouer leur rôle dans le rayonnement culturel français »</w:t>
      </w:r>
    </w:p>
    <w:p w14:paraId="38869A07" w14:textId="57A3D705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PASCAL BRETON :</w:t>
      </w:r>
      <w:r>
        <w:t xml:space="preserve"> </w:t>
      </w:r>
      <w:r w:rsidRPr="00F35319">
        <w:rPr>
          <w:i/>
          <w:iCs/>
        </w:rPr>
        <w:t>« La bataille pour attirer et conserver les talents sera l’un des enjeux principaux de la prochaine décennie »</w:t>
      </w:r>
    </w:p>
    <w:p w14:paraId="0E79E7D0" w14:textId="6BD6EB4F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PIERRE-ANTOINE CAPTON :</w:t>
      </w:r>
      <w:r>
        <w:t xml:space="preserve"> </w:t>
      </w:r>
      <w:r w:rsidRPr="00F35319">
        <w:rPr>
          <w:i/>
          <w:iCs/>
        </w:rPr>
        <w:t>« Dans 10 ans, on ne fera plus de distinction entre plateformes et diffuseurs traditionnel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150857C3" w14:textId="7732B637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MARIE-LAURE DARIDAN :</w:t>
      </w:r>
      <w:r w:rsidRPr="00F35319">
        <w:t xml:space="preserve"> </w:t>
      </w:r>
      <w:r w:rsidRPr="00F35319">
        <w:rPr>
          <w:i/>
          <w:iCs/>
        </w:rPr>
        <w:t>« Netflix doit jouer son rôle de leader en termes de réduction des émissions de CO2 »</w:t>
      </w:r>
    </w:p>
    <w:p w14:paraId="6BCD0E17" w14:textId="5BD7B237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RAPHAËL DE ANDREIS :</w:t>
      </w:r>
      <w:r>
        <w:t xml:space="preserve"> </w:t>
      </w:r>
      <w:r w:rsidRPr="00F35319">
        <w:rPr>
          <w:i/>
          <w:iCs/>
        </w:rPr>
        <w:t>« La communication efficace accélère tout. Elle le fait au service de l’impérative transformation écologique »</w:t>
      </w:r>
    </w:p>
    <w:p w14:paraId="0401FEA8" w14:textId="19D06C49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NICOLAS DE TAVERNOST :</w:t>
      </w:r>
      <w:r>
        <w:t xml:space="preserve"> </w:t>
      </w:r>
      <w:r w:rsidRPr="00F35319">
        <w:rPr>
          <w:i/>
          <w:iCs/>
        </w:rPr>
        <w:t>« Les groupes de télévision sont les artisans d’une culture commune, gratuite, qui forge la cohésion sociale de notre pays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79BB0677" w14:textId="358065DC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 xml:space="preserve">ARTHUR DREYFUSS : </w:t>
      </w:r>
      <w:r w:rsidRPr="00F35319">
        <w:rPr>
          <w:i/>
          <w:iCs/>
        </w:rPr>
        <w:t>« La digitalisation : une formidable opportunité de se réinventer pour les médias traditionnels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3A86B662" w14:textId="495AE98D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DELPHINE ERNOTTE :</w:t>
      </w:r>
      <w:r>
        <w:t xml:space="preserve"> </w:t>
      </w:r>
      <w:r w:rsidRPr="00F35319">
        <w:rPr>
          <w:i/>
          <w:iCs/>
        </w:rPr>
        <w:t>« En nous alliant, nous pouvons rester des médias de référence pour tous les publics »</w:t>
      </w:r>
    </w:p>
    <w:p w14:paraId="58FFE3A1" w14:textId="7C3E8064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HÉLÈNE ETZI :</w:t>
      </w:r>
      <w:r>
        <w:t xml:space="preserve"> </w:t>
      </w:r>
      <w:r w:rsidRPr="00F35319">
        <w:rPr>
          <w:i/>
          <w:iCs/>
        </w:rPr>
        <w:t>« Que les normes qui s’écrivent soient ouvertes, équitables, et ne contribuent pas à un isolement au détriment des opérateurs basés en France »</w:t>
      </w:r>
    </w:p>
    <w:p w14:paraId="1ACFA903" w14:textId="16BBB101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BIBIANE GODFROID :</w:t>
      </w:r>
      <w:r>
        <w:t xml:space="preserve"> </w:t>
      </w:r>
      <w:r w:rsidRPr="00F35319">
        <w:rPr>
          <w:i/>
          <w:iCs/>
        </w:rPr>
        <w:t>« La production française sortira encore plus forte, agile et créative de cette crise»</w:t>
      </w:r>
    </w:p>
    <w:p w14:paraId="4947E30E" w14:textId="40727AB5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ROCH-OLIVIER MAISTRE :</w:t>
      </w:r>
      <w:r>
        <w:t xml:space="preserve"> </w:t>
      </w:r>
      <w:r w:rsidRPr="00F35319">
        <w:rPr>
          <w:i/>
          <w:iCs/>
        </w:rPr>
        <w:t>« Les défis de la révolution des plateformes : adapter nos règles aux SMA ; tenir compte des nouveaux modes d’accès aux contenus »</w:t>
      </w:r>
    </w:p>
    <w:p w14:paraId="16EF518D" w14:textId="4A9DE341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MARC MISSONNIER :</w:t>
      </w:r>
      <w:r>
        <w:t xml:space="preserve"> </w:t>
      </w:r>
      <w:r w:rsidRPr="00F35319">
        <w:rPr>
          <w:i/>
          <w:iCs/>
        </w:rPr>
        <w:t>« Les chaînes traditionnelles doivent investir massivement dans des programmes locaux »</w:t>
      </w:r>
    </w:p>
    <w:p w14:paraId="4D5D176B" w14:textId="5843A0E5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GILLES PÉLISSON :</w:t>
      </w:r>
      <w:r>
        <w:t xml:space="preserve"> </w:t>
      </w:r>
      <w:r w:rsidRPr="00F35319">
        <w:rPr>
          <w:i/>
          <w:iCs/>
        </w:rPr>
        <w:t xml:space="preserve">« La crise a révélé l’émergence d’un marché Total </w:t>
      </w:r>
      <w:r w:rsidR="001704F0" w:rsidRPr="00F35319">
        <w:rPr>
          <w:i/>
          <w:iCs/>
        </w:rPr>
        <w:t>Vidéo</w:t>
      </w:r>
      <w:r w:rsidRPr="00F35319">
        <w:rPr>
          <w:i/>
          <w:iCs/>
        </w:rPr>
        <w:t xml:space="preserve"> mêlant réseaux sociaux, chaînes de télévision et plateformes digitales. »</w:t>
      </w:r>
    </w:p>
    <w:p w14:paraId="32BEF72C" w14:textId="38605A27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PASCAL ROGARD :</w:t>
      </w:r>
      <w:r>
        <w:t xml:space="preserve"> </w:t>
      </w:r>
      <w:r w:rsidRPr="00F35319">
        <w:rPr>
          <w:i/>
          <w:iCs/>
        </w:rPr>
        <w:t>« Se réformer sans se résigner, ni se renier »</w:t>
      </w:r>
    </w:p>
    <w:p w14:paraId="2762D270" w14:textId="056C1230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HERVE RONY :</w:t>
      </w:r>
      <w:r w:rsidR="001704F0">
        <w:rPr>
          <w:b/>
          <w:bCs/>
          <w:color w:val="90003A"/>
        </w:rPr>
        <w:t xml:space="preserve"> </w:t>
      </w:r>
      <w:r w:rsidRPr="00F35319">
        <w:rPr>
          <w:i/>
          <w:iCs/>
        </w:rPr>
        <w:t>« Le paradoxe, c’est que même si l’économie de nos secteurs se développe, les auteurs ne se portent pas mieux »</w:t>
      </w:r>
    </w:p>
    <w:p w14:paraId="3F94133A" w14:textId="74A5623A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 xml:space="preserve">STÉPHANE ROUSSEL : </w:t>
      </w:r>
      <w:r w:rsidRPr="00F35319">
        <w:rPr>
          <w:i/>
          <w:iCs/>
        </w:rPr>
        <w:t>« Il y a de la place et une demande pour un champion français et européen de l’entertainment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343F87A5" w14:textId="0F4077D5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 xml:space="preserve">MAXIME SAADA : </w:t>
      </w:r>
      <w:r w:rsidRPr="00F35319">
        <w:rPr>
          <w:i/>
          <w:iCs/>
        </w:rPr>
        <w:t>« Le développement de myCanal, est une priorité stratégique majeure pour le groupe Canal+ »</w:t>
      </w:r>
    </w:p>
    <w:p w14:paraId="53995FFC" w14:textId="57F58C4C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MARIE-CHRISTINE SARAGOSSE :</w:t>
      </w:r>
      <w:r>
        <w:t xml:space="preserve"> </w:t>
      </w:r>
      <w:r w:rsidRPr="00F35319">
        <w:rPr>
          <w:i/>
          <w:iCs/>
        </w:rPr>
        <w:t>« Avec leurs 240 millions de contacts chaque semaine, nos médias sont l’un des plus puissants outils de rayonnement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58AE9509" w14:textId="07B64D00" w:rsidR="00F35319" w:rsidRPr="00F35319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  <w:rPr>
          <w:i/>
          <w:iCs/>
        </w:rPr>
      </w:pPr>
      <w:r w:rsidRPr="00F35319">
        <w:rPr>
          <w:b/>
          <w:bCs/>
          <w:color w:val="90003A"/>
        </w:rPr>
        <w:t>LAURENT SOLLY :</w:t>
      </w:r>
      <w:r>
        <w:t xml:space="preserve"> </w:t>
      </w:r>
      <w:r w:rsidRPr="00F35319">
        <w:rPr>
          <w:i/>
          <w:iCs/>
        </w:rPr>
        <w:t>« Ce n'est pas le rôle d'une entreprise privée comme Facebook de prendre autant de décisions chaque jour sur ce qui peut être publié ou non</w:t>
      </w:r>
      <w:r w:rsidR="001704F0">
        <w:rPr>
          <w:i/>
          <w:iCs/>
        </w:rPr>
        <w:t xml:space="preserve"> </w:t>
      </w:r>
      <w:r w:rsidRPr="00F35319">
        <w:rPr>
          <w:i/>
          <w:iCs/>
        </w:rPr>
        <w:t>»</w:t>
      </w:r>
    </w:p>
    <w:p w14:paraId="40EE98A4" w14:textId="499D3187" w:rsidR="0007162D" w:rsidRPr="0007162D" w:rsidRDefault="00F35319" w:rsidP="001704F0">
      <w:pPr>
        <w:pBdr>
          <w:top w:val="single" w:sz="4" w:space="1" w:color="90003A"/>
          <w:left w:val="single" w:sz="4" w:space="4" w:color="90003A"/>
          <w:bottom w:val="single" w:sz="4" w:space="1" w:color="90003A"/>
          <w:right w:val="single" w:sz="4" w:space="8" w:color="90003A"/>
        </w:pBdr>
        <w:tabs>
          <w:tab w:val="left" w:pos="900"/>
          <w:tab w:val="center" w:pos="4536"/>
        </w:tabs>
        <w:spacing w:before="120" w:after="120" w:line="240" w:lineRule="auto"/>
        <w:jc w:val="both"/>
      </w:pPr>
      <w:r w:rsidRPr="00F35319">
        <w:rPr>
          <w:b/>
          <w:bCs/>
          <w:color w:val="90003A"/>
        </w:rPr>
        <w:t>SIBYLE VEIL :</w:t>
      </w:r>
      <w:r>
        <w:t xml:space="preserve"> </w:t>
      </w:r>
      <w:r w:rsidRPr="00F35319">
        <w:rPr>
          <w:i/>
          <w:iCs/>
        </w:rPr>
        <w:t>« La radio : un média d’avenir… et très certainement, le média prescripteur de la décennie qui commence »</w:t>
      </w:r>
    </w:p>
    <w:sectPr w:rsidR="0007162D" w:rsidRPr="0007162D" w:rsidSect="0007162D">
      <w:pgSz w:w="11906" w:h="16838"/>
      <w:pgMar w:top="851" w:right="1417" w:bottom="568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DD70" w14:textId="77777777" w:rsidR="0056262A" w:rsidRDefault="0056262A" w:rsidP="00C50004">
      <w:pPr>
        <w:spacing w:after="0" w:line="240" w:lineRule="auto"/>
      </w:pPr>
      <w:r>
        <w:separator/>
      </w:r>
    </w:p>
  </w:endnote>
  <w:endnote w:type="continuationSeparator" w:id="0">
    <w:p w14:paraId="7AF33D19" w14:textId="77777777" w:rsidR="0056262A" w:rsidRDefault="0056262A" w:rsidP="00C5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ED08" w14:textId="0569A3AE" w:rsidR="007253E2" w:rsidRPr="007253E2" w:rsidRDefault="007253E2" w:rsidP="007253E2">
    <w:pPr>
      <w:pStyle w:val="Pieddepage"/>
      <w:jc w:val="center"/>
      <w:rPr>
        <w:b/>
        <w:bCs/>
        <w:color w:val="FFFFFF" w:themeColor="background1"/>
      </w:rPr>
    </w:pPr>
    <w:r w:rsidRPr="007253E2">
      <w:rPr>
        <w:b/>
        <w:bCs/>
        <w:noProof/>
        <w:color w:val="FFFFFF" w:themeColor="background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70D6C45" wp14:editId="6A0D4283">
              <wp:simplePos x="0" y="0"/>
              <wp:positionH relativeFrom="column">
                <wp:posOffset>-995045</wp:posOffset>
              </wp:positionH>
              <wp:positionV relativeFrom="paragraph">
                <wp:posOffset>-183514</wp:posOffset>
              </wp:positionV>
              <wp:extent cx="7680325" cy="704850"/>
              <wp:effectExtent l="0" t="0" r="0" b="0"/>
              <wp:wrapNone/>
              <wp:docPr id="289" name="Rectangle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704850"/>
                      </a:xfrm>
                      <a:prstGeom prst="rect">
                        <a:avLst/>
                      </a:prstGeom>
                      <a:solidFill>
                        <a:srgbClr val="9000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4E91FFD" id="Rectangle 289" o:spid="_x0000_s1026" style="position:absolute;margin-left:-78.35pt;margin-top:-14.45pt;width:604.75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" fillcolor="#90003a" stroked="f" strokeweight="1pt"/>
          </w:pict>
        </mc:Fallback>
      </mc:AlternateContent>
    </w:r>
    <w:r w:rsidRPr="007253E2">
      <w:rPr>
        <w:b/>
        <w:bCs/>
        <w:color w:val="FFFFFF" w:themeColor="background1"/>
        <w:sz w:val="24"/>
        <w:szCs w:val="24"/>
      </w:rPr>
      <w:t>Contact : Rémy Dupont – rdupont@npaconseil.com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FEC8C" w14:textId="77777777" w:rsidR="0056262A" w:rsidRDefault="0056262A" w:rsidP="00C50004">
      <w:pPr>
        <w:spacing w:after="0" w:line="240" w:lineRule="auto"/>
      </w:pPr>
      <w:r>
        <w:separator/>
      </w:r>
    </w:p>
  </w:footnote>
  <w:footnote w:type="continuationSeparator" w:id="0">
    <w:p w14:paraId="771BFAE7" w14:textId="77777777" w:rsidR="0056262A" w:rsidRDefault="0056262A" w:rsidP="00C5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3BA9C" w14:textId="6B13DE92" w:rsidR="00C50004" w:rsidRPr="00C24473" w:rsidRDefault="00C24473" w:rsidP="00C2447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78668" wp14:editId="59E9FC4B">
              <wp:simplePos x="0" y="0"/>
              <wp:positionH relativeFrom="column">
                <wp:posOffset>1548130</wp:posOffset>
              </wp:positionH>
              <wp:positionV relativeFrom="paragraph">
                <wp:posOffset>-382905</wp:posOffset>
              </wp:positionV>
              <wp:extent cx="4770755" cy="5715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C6117" w14:textId="77777777" w:rsidR="00C24473" w:rsidRPr="00C24473" w:rsidRDefault="00C24473" w:rsidP="00C2447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</w:pPr>
                          <w:r w:rsidRPr="00C2447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  <w:t>COMMUNIQUE DE PRESSE</w:t>
                          </w:r>
                        </w:p>
                        <w:p w14:paraId="7DE29F84" w14:textId="3C7AB2FC" w:rsidR="00C24473" w:rsidRPr="00C24473" w:rsidRDefault="007D6DFE" w:rsidP="00C2447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  <w:t>2</w:t>
                          </w:r>
                          <w:r w:rsidR="005C7D12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  <w:t>2</w:t>
                          </w:r>
                          <w:r w:rsidR="00C24473" w:rsidRPr="00C2447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  <w:t>/04/2021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08786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1.9pt;margin-top:-30.15pt;width:375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" filled="f" stroked="f">
              <v:textbox>
                <w:txbxContent>
                  <w:p w14:paraId="72EC6117" w14:textId="77777777" w:rsidR="00C24473" w:rsidRPr="00C24473" w:rsidRDefault="00C24473" w:rsidP="00C24473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</w:pPr>
                    <w:r w:rsidRPr="00C24473"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  <w:t>COMMUNIQUE DE PRESSE</w:t>
                    </w:r>
                  </w:p>
                  <w:p w14:paraId="7DE29F84" w14:textId="3C7AB2FC" w:rsidR="00C24473" w:rsidRPr="00C24473" w:rsidRDefault="007D6DFE" w:rsidP="00C24473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  <w:t>2</w:t>
                    </w:r>
                    <w:r w:rsidR="005C7D12"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  <w:t>2</w:t>
                    </w:r>
                    <w:r w:rsidR="00C24473" w:rsidRPr="00C24473"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  <w:t>/04/2021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7FA1E7" wp14:editId="49EC2647">
          <wp:simplePos x="0" y="0"/>
          <wp:positionH relativeFrom="column">
            <wp:posOffset>-537845</wp:posOffset>
          </wp:positionH>
          <wp:positionV relativeFrom="paragraph">
            <wp:posOffset>-382905</wp:posOffset>
          </wp:positionV>
          <wp:extent cx="1475105" cy="457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E18D2A" wp14:editId="557BB132">
              <wp:simplePos x="0" y="0"/>
              <wp:positionH relativeFrom="column">
                <wp:posOffset>-995045</wp:posOffset>
              </wp:positionH>
              <wp:positionV relativeFrom="paragraph">
                <wp:posOffset>-563880</wp:posOffset>
              </wp:positionV>
              <wp:extent cx="7680325" cy="7143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714375"/>
                      </a:xfrm>
                      <a:prstGeom prst="rect">
                        <a:avLst/>
                      </a:prstGeom>
                      <a:solidFill>
                        <a:srgbClr val="9000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B9588B2" id="Rectangle 2" o:spid="_x0000_s1026" style="position:absolute;margin-left:-78.35pt;margin-top:-44.4pt;width:604.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" fillcolor="#90003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580"/>
    <w:multiLevelType w:val="hybridMultilevel"/>
    <w:tmpl w:val="D9CCE6A6"/>
    <w:lvl w:ilvl="0" w:tplc="1F5EA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03C1"/>
    <w:multiLevelType w:val="multilevel"/>
    <w:tmpl w:val="40E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C5D"/>
    <w:multiLevelType w:val="hybridMultilevel"/>
    <w:tmpl w:val="619287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70481"/>
    <w:multiLevelType w:val="hybridMultilevel"/>
    <w:tmpl w:val="362EE356"/>
    <w:lvl w:ilvl="0" w:tplc="DBDE5E1E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CD2670"/>
    <w:multiLevelType w:val="hybridMultilevel"/>
    <w:tmpl w:val="353C9694"/>
    <w:lvl w:ilvl="0" w:tplc="59B84652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623"/>
    <w:multiLevelType w:val="hybridMultilevel"/>
    <w:tmpl w:val="703E93A8"/>
    <w:lvl w:ilvl="0" w:tplc="4EA81C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1544"/>
    <w:multiLevelType w:val="hybridMultilevel"/>
    <w:tmpl w:val="2AE4EB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14"/>
    <w:rsid w:val="00041411"/>
    <w:rsid w:val="0007162D"/>
    <w:rsid w:val="00083F34"/>
    <w:rsid w:val="000C11BA"/>
    <w:rsid w:val="000D5E14"/>
    <w:rsid w:val="000E462F"/>
    <w:rsid w:val="00136883"/>
    <w:rsid w:val="00144B25"/>
    <w:rsid w:val="001459EE"/>
    <w:rsid w:val="00152471"/>
    <w:rsid w:val="001704F0"/>
    <w:rsid w:val="0018606B"/>
    <w:rsid w:val="001956C8"/>
    <w:rsid w:val="0019737F"/>
    <w:rsid w:val="001A02E2"/>
    <w:rsid w:val="001C08A5"/>
    <w:rsid w:val="001D44C1"/>
    <w:rsid w:val="001E466B"/>
    <w:rsid w:val="00237B61"/>
    <w:rsid w:val="002867DC"/>
    <w:rsid w:val="0034340E"/>
    <w:rsid w:val="0034754E"/>
    <w:rsid w:val="003635A6"/>
    <w:rsid w:val="00397528"/>
    <w:rsid w:val="003E4D7B"/>
    <w:rsid w:val="004439CC"/>
    <w:rsid w:val="004620D8"/>
    <w:rsid w:val="00482CB1"/>
    <w:rsid w:val="00490DAC"/>
    <w:rsid w:val="004A0FD8"/>
    <w:rsid w:val="004B6314"/>
    <w:rsid w:val="004D0E37"/>
    <w:rsid w:val="00520DD6"/>
    <w:rsid w:val="00540BC0"/>
    <w:rsid w:val="00542EF3"/>
    <w:rsid w:val="0056262A"/>
    <w:rsid w:val="005806B9"/>
    <w:rsid w:val="005C062C"/>
    <w:rsid w:val="005C7D12"/>
    <w:rsid w:val="00610765"/>
    <w:rsid w:val="00646044"/>
    <w:rsid w:val="006470EE"/>
    <w:rsid w:val="00647D65"/>
    <w:rsid w:val="0069691C"/>
    <w:rsid w:val="006A52DF"/>
    <w:rsid w:val="006B46D9"/>
    <w:rsid w:val="007253E2"/>
    <w:rsid w:val="00734FE1"/>
    <w:rsid w:val="007536CB"/>
    <w:rsid w:val="007C6483"/>
    <w:rsid w:val="007D6DFE"/>
    <w:rsid w:val="007E6DB1"/>
    <w:rsid w:val="007F466A"/>
    <w:rsid w:val="00811790"/>
    <w:rsid w:val="00815F5D"/>
    <w:rsid w:val="00833E1B"/>
    <w:rsid w:val="00856814"/>
    <w:rsid w:val="00880113"/>
    <w:rsid w:val="008923D6"/>
    <w:rsid w:val="008A3C8A"/>
    <w:rsid w:val="008C7A37"/>
    <w:rsid w:val="008D5D2B"/>
    <w:rsid w:val="008E4793"/>
    <w:rsid w:val="00901C33"/>
    <w:rsid w:val="009218FB"/>
    <w:rsid w:val="009321D5"/>
    <w:rsid w:val="0094662F"/>
    <w:rsid w:val="00966536"/>
    <w:rsid w:val="00991019"/>
    <w:rsid w:val="009A7B78"/>
    <w:rsid w:val="00A46123"/>
    <w:rsid w:val="00A52911"/>
    <w:rsid w:val="00A5360A"/>
    <w:rsid w:val="00A60A7E"/>
    <w:rsid w:val="00A64C33"/>
    <w:rsid w:val="00AA68C2"/>
    <w:rsid w:val="00AC5212"/>
    <w:rsid w:val="00B67F2C"/>
    <w:rsid w:val="00B85E0D"/>
    <w:rsid w:val="00B96E0F"/>
    <w:rsid w:val="00BE5A2A"/>
    <w:rsid w:val="00C124D1"/>
    <w:rsid w:val="00C24473"/>
    <w:rsid w:val="00C26091"/>
    <w:rsid w:val="00C50004"/>
    <w:rsid w:val="00C74607"/>
    <w:rsid w:val="00D25A4B"/>
    <w:rsid w:val="00D778F4"/>
    <w:rsid w:val="00D92ABB"/>
    <w:rsid w:val="00E167E8"/>
    <w:rsid w:val="00E44B83"/>
    <w:rsid w:val="00E5212C"/>
    <w:rsid w:val="00E555DD"/>
    <w:rsid w:val="00E811DB"/>
    <w:rsid w:val="00F007D8"/>
    <w:rsid w:val="00F35319"/>
    <w:rsid w:val="00F35F28"/>
    <w:rsid w:val="00F423CC"/>
    <w:rsid w:val="00F452E9"/>
    <w:rsid w:val="00F635E7"/>
    <w:rsid w:val="00FB213D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5E33"/>
  <w15:chartTrackingRefBased/>
  <w15:docId w15:val="{89AA6F4E-CFC2-4870-992E-F18075B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6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04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4B6314"/>
    <w:pPr>
      <w:widowControl w:val="0"/>
      <w:suppressAutoHyphens/>
      <w:spacing w:after="120" w:line="240" w:lineRule="auto"/>
    </w:pPr>
    <w:rPr>
      <w:rFonts w:ascii="Liberation Sans" w:eastAsia="SimSun" w:hAnsi="Liberation Sans" w:cs="Liberation Sans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4B6314"/>
    <w:rPr>
      <w:rFonts w:ascii="Liberation Sans" w:eastAsia="SimSun" w:hAnsi="Liberation Sans" w:cs="Liberation Sans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A7B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7B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956C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6044"/>
    <w:rPr>
      <w:rFonts w:asciiTheme="majorHAnsi" w:eastAsiaTheme="majorEastAsia" w:hAnsiTheme="majorHAnsi" w:cstheme="majorBidi"/>
      <w:b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6044"/>
    <w:p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46044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646044"/>
    <w:rPr>
      <w:rFonts w:asciiTheme="majorHAnsi" w:eastAsiaTheme="majorEastAsia" w:hAnsiTheme="majorHAnsi" w:cstheme="majorBidi"/>
      <w:sz w:val="18"/>
      <w:szCs w:val="26"/>
    </w:rPr>
  </w:style>
  <w:style w:type="paragraph" w:styleId="Sansinterligne">
    <w:name w:val="No Spacing"/>
    <w:uiPriority w:val="1"/>
    <w:qFormat/>
    <w:rsid w:val="003635A6"/>
    <w:pPr>
      <w:spacing w:after="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3635A6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C5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004"/>
  </w:style>
  <w:style w:type="paragraph" w:styleId="Pieddepage">
    <w:name w:val="footer"/>
    <w:basedOn w:val="Normal"/>
    <w:link w:val="PieddepageCar"/>
    <w:unhideWhenUsed/>
    <w:rsid w:val="00C5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004"/>
  </w:style>
  <w:style w:type="character" w:styleId="Marquedecommentaire">
    <w:name w:val="annotation reference"/>
    <w:basedOn w:val="Policepardfaut"/>
    <w:uiPriority w:val="99"/>
    <w:semiHidden/>
    <w:unhideWhenUsed/>
    <w:rsid w:val="003E4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4D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4D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4D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4D7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E4D7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D7B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4473"/>
    <w:pPr>
      <w:spacing w:after="0" w:line="276" w:lineRule="auto"/>
      <w:contextualSpacing/>
    </w:pPr>
    <w:rPr>
      <w:rFonts w:ascii="Arial" w:eastAsia="Times New Roman" w:hAnsi="Arial"/>
      <w:color w:val="404040" w:themeColor="text1" w:themeTint="BF"/>
      <w:spacing w:val="5"/>
      <w:kern w:val="28"/>
      <w:sz w:val="48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24473"/>
    <w:rPr>
      <w:rFonts w:ascii="Arial" w:eastAsia="Times New Roman" w:hAnsi="Arial"/>
      <w:color w:val="404040" w:themeColor="text1" w:themeTint="BF"/>
      <w:spacing w:val="5"/>
      <w:kern w:val="28"/>
      <w:sz w:val="48"/>
      <w:szCs w:val="5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67F2C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D6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paconseil.com/cp-insight-1000-intervie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511F-E974-4198-A1BE-217BD106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BAILLY</dc:creator>
  <cp:keywords/>
  <dc:description/>
  <cp:lastModifiedBy>Isabelle REPITON</cp:lastModifiedBy>
  <cp:revision>3</cp:revision>
  <cp:lastPrinted>2021-04-13T12:27:00Z</cp:lastPrinted>
  <dcterms:created xsi:type="dcterms:W3CDTF">2021-04-22T11:00:00Z</dcterms:created>
  <dcterms:modified xsi:type="dcterms:W3CDTF">2021-04-22T11:22:00Z</dcterms:modified>
</cp:coreProperties>
</file>